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76506AB3" w:rsidR="0048228F" w:rsidRPr="00A75E6F" w:rsidRDefault="00067284" w:rsidP="00A21454">
      <w:pPr>
        <w:shd w:val="clear" w:color="auto" w:fill="92CDDC" w:themeFill="accent5" w:themeFillTint="99"/>
        <w:jc w:val="both"/>
        <w:rPr>
          <w:rFonts w:asciiTheme="minorHAnsi" w:hAnsiTheme="minorHAnsi" w:cstheme="minorHAnsi"/>
          <w:b/>
          <w:smallCaps/>
          <w:sz w:val="40"/>
          <w:szCs w:val="22"/>
          <w:lang w:val="en-GB"/>
        </w:rPr>
      </w:pPr>
      <w:r>
        <w:rPr>
          <w:rFonts w:asciiTheme="minorHAnsi" w:hAnsiTheme="minorHAnsi" w:cstheme="minorHAnsi"/>
          <w:b/>
          <w:smallCaps/>
          <w:sz w:val="40"/>
          <w:szCs w:val="22"/>
          <w:lang w:val="en-GB"/>
        </w:rPr>
        <w:t>Zusammenfassung</w:t>
      </w:r>
    </w:p>
    <w:p w14:paraId="23631686" w14:textId="77777777" w:rsidR="003A7308" w:rsidRPr="00A75E6F" w:rsidRDefault="003A7308" w:rsidP="00A21454">
      <w:pPr>
        <w:jc w:val="both"/>
        <w:rPr>
          <w:rFonts w:asciiTheme="minorHAnsi" w:hAnsiTheme="minorHAnsi" w:cstheme="minorHAnsi"/>
          <w:szCs w:val="22"/>
          <w:lang w:val="en-GB" w:eastAsia="en-US"/>
        </w:rPr>
      </w:pPr>
    </w:p>
    <w:p w14:paraId="2B63E062" w14:textId="6C567DD4" w:rsidR="00D9496C" w:rsidRPr="00067284" w:rsidRDefault="00435DB8" w:rsidP="00A21454">
      <w:pPr>
        <w:pStyle w:val="berschrift1"/>
        <w:jc w:val="both"/>
        <w:rPr>
          <w:rFonts w:asciiTheme="minorHAnsi" w:hAnsiTheme="minorHAnsi" w:cstheme="minorHAnsi"/>
          <w:sz w:val="28"/>
          <w:szCs w:val="22"/>
          <w:lang w:val="de-DE"/>
        </w:rPr>
      </w:pPr>
      <w:r w:rsidRPr="00067284">
        <w:rPr>
          <w:rFonts w:asciiTheme="minorHAnsi" w:hAnsiTheme="minorHAnsi" w:cstheme="minorHAnsi"/>
          <w:sz w:val="28"/>
          <w:szCs w:val="22"/>
          <w:lang w:val="de-DE"/>
        </w:rPr>
        <w:t>MOOC W</w:t>
      </w:r>
      <w:r w:rsidR="00067284">
        <w:rPr>
          <w:rFonts w:asciiTheme="minorHAnsi" w:hAnsiTheme="minorHAnsi" w:cstheme="minorHAnsi"/>
          <w:sz w:val="28"/>
          <w:szCs w:val="22"/>
          <w:lang w:val="de-DE"/>
        </w:rPr>
        <w:t>oche</w:t>
      </w:r>
      <w:r w:rsidRPr="00067284">
        <w:rPr>
          <w:rFonts w:asciiTheme="minorHAnsi" w:hAnsiTheme="minorHAnsi" w:cstheme="minorHAnsi"/>
          <w:sz w:val="28"/>
          <w:szCs w:val="22"/>
          <w:lang w:val="de-DE"/>
        </w:rPr>
        <w:t xml:space="preserve"> 1</w:t>
      </w:r>
      <w:r w:rsidR="009B2026" w:rsidRPr="00067284">
        <w:rPr>
          <w:rFonts w:asciiTheme="minorHAnsi" w:hAnsiTheme="minorHAnsi" w:cstheme="minorHAnsi"/>
          <w:sz w:val="28"/>
          <w:szCs w:val="22"/>
          <w:lang w:val="de-DE"/>
        </w:rPr>
        <w:t xml:space="preserve">: </w:t>
      </w:r>
      <w:r w:rsidR="00067284" w:rsidRPr="00067284">
        <w:rPr>
          <w:rFonts w:asciiTheme="minorHAnsi" w:hAnsiTheme="minorHAnsi" w:cstheme="minorHAnsi"/>
          <w:sz w:val="28"/>
          <w:szCs w:val="22"/>
          <w:lang w:val="de-DE"/>
        </w:rPr>
        <w:t>Definition von Literarität in der Technik</w:t>
      </w:r>
    </w:p>
    <w:p w14:paraId="31A3D0F1" w14:textId="1D73AF0F" w:rsidR="00F677BB" w:rsidRDefault="00F677BB" w:rsidP="00A21454">
      <w:pPr>
        <w:jc w:val="both"/>
        <w:rPr>
          <w:rFonts w:asciiTheme="minorHAnsi" w:hAnsiTheme="minorHAnsi" w:cstheme="minorHAnsi"/>
          <w:lang w:val="de-DE" w:eastAsia="en-US"/>
        </w:rPr>
      </w:pPr>
    </w:p>
    <w:p w14:paraId="3B077F17" w14:textId="77777777" w:rsidR="00067284" w:rsidRPr="00067284" w:rsidRDefault="00067284" w:rsidP="00067284">
      <w:pPr>
        <w:spacing w:after="160" w:line="259" w:lineRule="auto"/>
        <w:rPr>
          <w:rFonts w:ascii="Calibri" w:eastAsia="Calibri" w:hAnsi="Calibri"/>
          <w:sz w:val="22"/>
          <w:szCs w:val="22"/>
          <w:lang w:val="de-DE" w:eastAsia="en-US"/>
        </w:rPr>
      </w:pPr>
      <w:r w:rsidRPr="00067284">
        <w:rPr>
          <w:rFonts w:ascii="Calibri" w:eastAsia="Calibri" w:hAnsi="Calibri"/>
          <w:sz w:val="22"/>
          <w:szCs w:val="22"/>
          <w:lang w:val="de-DE" w:eastAsia="en-US"/>
        </w:rPr>
        <w:t xml:space="preserve">Erklärtes Ziel des ELIC-Projekts ist es, die Ingenieurskompetenz von Sekundarschülern zu verbessern </w:t>
      </w:r>
      <w:sdt>
        <w:sdtPr>
          <w:rPr>
            <w:rFonts w:ascii="Calibri" w:eastAsia="Calibri" w:hAnsi="Calibri"/>
            <w:sz w:val="22"/>
            <w:szCs w:val="22"/>
            <w:lang w:val="de-DE" w:eastAsia="en-US"/>
          </w:rPr>
          <w:id w:val="-204641970"/>
          <w:citation/>
        </w:sdtPr>
        <w:sdtContent>
          <w:r w:rsidRPr="00067284">
            <w:rPr>
              <w:rFonts w:ascii="Calibri" w:eastAsia="Calibri" w:hAnsi="Calibri"/>
              <w:sz w:val="22"/>
              <w:szCs w:val="22"/>
              <w:lang w:val="de-DE" w:eastAsia="en-US"/>
            </w:rPr>
            <w:fldChar w:fldCharType="begin"/>
          </w:r>
          <w:r w:rsidRPr="00067284">
            <w:rPr>
              <w:rFonts w:ascii="Calibri" w:eastAsia="Calibri" w:hAnsi="Calibri"/>
              <w:sz w:val="22"/>
              <w:szCs w:val="22"/>
              <w:lang w:val="de-DE" w:eastAsia="en-US"/>
            </w:rPr>
            <w:instrText xml:space="preserve"> CITATION ELI18 \l 2057 </w:instrText>
          </w:r>
          <w:r w:rsidRPr="00067284">
            <w:rPr>
              <w:rFonts w:ascii="Calibri" w:eastAsia="Calibri" w:hAnsi="Calibri"/>
              <w:sz w:val="22"/>
              <w:szCs w:val="22"/>
              <w:lang w:val="de-DE" w:eastAsia="en-US"/>
            </w:rPr>
            <w:fldChar w:fldCharType="separate"/>
          </w:r>
          <w:r w:rsidRPr="00067284">
            <w:rPr>
              <w:rFonts w:ascii="Calibri" w:eastAsia="Calibri" w:hAnsi="Calibri"/>
              <w:sz w:val="22"/>
              <w:szCs w:val="22"/>
              <w:lang w:val="de-DE" w:eastAsia="en-US"/>
            </w:rPr>
            <w:t>(ELIC, 2018)</w:t>
          </w:r>
          <w:r w:rsidRPr="00067284">
            <w:rPr>
              <w:rFonts w:ascii="Calibri" w:eastAsia="Calibri" w:hAnsi="Calibri"/>
              <w:sz w:val="22"/>
              <w:szCs w:val="22"/>
              <w:lang w:val="de-DE" w:eastAsia="en-US"/>
            </w:rPr>
            <w:fldChar w:fldCharType="end"/>
          </w:r>
        </w:sdtContent>
      </w:sdt>
      <w:r w:rsidRPr="00067284">
        <w:rPr>
          <w:rFonts w:ascii="Calibri" w:eastAsia="Calibri" w:hAnsi="Calibri"/>
          <w:sz w:val="22"/>
          <w:szCs w:val="22"/>
          <w:lang w:val="de-DE" w:eastAsia="en-US"/>
        </w:rPr>
        <w:t xml:space="preserve">,indem es Gymnasiallehrern aus den Naturwissenschaften Materialien zur Verfügung stellt, die die Schüler an sich motivieren, sich stärker mit technischen Inhalten auseinanderzusetzen. Bevor dieses Ziel jedoch erreicht werden konnte und aufgrund zahlreicher alternativer Definitionen des Begriffs </w:t>
      </w:r>
      <w:r w:rsidRPr="00067284">
        <w:rPr>
          <w:rFonts w:ascii="Calibri" w:eastAsia="Calibri" w:hAnsi="Calibri"/>
          <w:i/>
          <w:iCs/>
          <w:sz w:val="22"/>
          <w:szCs w:val="22"/>
          <w:lang w:val="de-DE" w:eastAsia="en-US"/>
        </w:rPr>
        <w:t>Literarität</w:t>
      </w:r>
      <w:r w:rsidRPr="00067284">
        <w:rPr>
          <w:rFonts w:ascii="Calibri" w:eastAsia="Calibri" w:hAnsi="Calibri"/>
          <w:iCs/>
          <w:sz w:val="22"/>
          <w:szCs w:val="22"/>
          <w:lang w:val="de-DE" w:eastAsia="en-US"/>
        </w:rPr>
        <w:t xml:space="preserve"> (aus dem Englischen </w:t>
      </w:r>
      <w:r w:rsidRPr="00067284">
        <w:rPr>
          <w:rFonts w:ascii="Calibri" w:eastAsia="Calibri" w:hAnsi="Calibri"/>
          <w:i/>
          <w:iCs/>
          <w:sz w:val="22"/>
          <w:szCs w:val="22"/>
          <w:lang w:val="de-DE" w:eastAsia="en-US"/>
        </w:rPr>
        <w:t>literacy</w:t>
      </w:r>
      <w:r w:rsidRPr="00067284">
        <w:rPr>
          <w:rFonts w:ascii="Calibri" w:eastAsia="Calibri" w:hAnsi="Calibri"/>
          <w:iCs/>
          <w:sz w:val="22"/>
          <w:szCs w:val="22"/>
          <w:lang w:val="de-DE" w:eastAsia="en-US"/>
        </w:rPr>
        <w:t>)</w:t>
      </w:r>
      <w:r w:rsidRPr="00067284">
        <w:rPr>
          <w:rFonts w:ascii="Calibri" w:eastAsia="Calibri" w:hAnsi="Calibri"/>
          <w:sz w:val="22"/>
          <w:szCs w:val="22"/>
          <w:lang w:val="de-DE" w:eastAsia="en-US"/>
        </w:rPr>
        <w:t>, war es notwendig, ein gemeinsames Verständnis von Literarität für alle am ELIC beteiligten Parteien zu gewährleisten. Dieses Dokument fasst dieses gemeinsame Verständnis zusammen und skizziert gleichzeitig die theoretischen Grundlagen der Definition von Literarität im ELIC-Kontext.</w:t>
      </w:r>
    </w:p>
    <w:p w14:paraId="29A3768A" w14:textId="77777777" w:rsidR="00067284" w:rsidRPr="00067284" w:rsidRDefault="00067284" w:rsidP="00067284">
      <w:pPr>
        <w:spacing w:after="160" w:line="259" w:lineRule="auto"/>
        <w:rPr>
          <w:rFonts w:ascii="Calibri" w:eastAsia="Calibri" w:hAnsi="Calibri"/>
          <w:iCs/>
          <w:sz w:val="22"/>
          <w:szCs w:val="22"/>
          <w:lang w:val="de-DE" w:eastAsia="en-US"/>
        </w:rPr>
      </w:pPr>
      <w:r w:rsidRPr="00067284">
        <w:rPr>
          <w:rFonts w:ascii="Calibri" w:eastAsia="Calibri" w:hAnsi="Calibri"/>
          <w:sz w:val="22"/>
          <w:szCs w:val="22"/>
          <w:lang w:val="de-DE" w:eastAsia="en-US"/>
        </w:rPr>
        <w:t xml:space="preserve">Die erste er zu beantwortenden Fragen ist, was bedeutet </w:t>
      </w:r>
      <w:r w:rsidRPr="00067284">
        <w:rPr>
          <w:rFonts w:ascii="Calibri" w:eastAsia="Calibri" w:hAnsi="Calibri"/>
          <w:iCs/>
          <w:sz w:val="22"/>
          <w:szCs w:val="22"/>
          <w:lang w:val="de-DE" w:eastAsia="en-US"/>
        </w:rPr>
        <w:t>Literarität</w:t>
      </w:r>
      <w:r w:rsidRPr="00067284">
        <w:rPr>
          <w:rFonts w:ascii="Calibri" w:eastAsia="Calibri" w:hAnsi="Calibri"/>
          <w:sz w:val="22"/>
          <w:szCs w:val="22"/>
          <w:lang w:val="de-DE" w:eastAsia="en-US"/>
        </w:rPr>
        <w:t xml:space="preserve">? Eine kurze Betrachtung der Verwendung des Begriffs sowohl fachbereichsübergreifend als auch sprachübergreifend zeigt uns deutlich, dass er nicht immer dasselbe bedeutet. Während beispielsweise das englische Wort für eine Person, die nicht lesen kann – </w:t>
      </w:r>
      <w:r w:rsidRPr="00067284">
        <w:rPr>
          <w:rFonts w:ascii="Calibri" w:eastAsia="Calibri" w:hAnsi="Calibri"/>
          <w:i/>
          <w:iCs/>
          <w:sz w:val="22"/>
          <w:szCs w:val="22"/>
          <w:lang w:val="de-DE" w:eastAsia="en-US"/>
        </w:rPr>
        <w:t>illiterate</w:t>
      </w:r>
      <w:r w:rsidRPr="00067284">
        <w:rPr>
          <w:rFonts w:ascii="Calibri" w:eastAsia="Calibri" w:hAnsi="Calibri"/>
          <w:sz w:val="22"/>
          <w:szCs w:val="22"/>
          <w:lang w:val="de-DE" w:eastAsia="en-US"/>
        </w:rPr>
        <w:t xml:space="preserve"> – eindeutig mit </w:t>
      </w:r>
      <w:r w:rsidRPr="00067284">
        <w:rPr>
          <w:rFonts w:ascii="Calibri" w:eastAsia="Calibri" w:hAnsi="Calibri"/>
          <w:i/>
          <w:sz w:val="22"/>
          <w:szCs w:val="22"/>
          <w:lang w:val="de-DE" w:eastAsia="en-US"/>
        </w:rPr>
        <w:t>literacy</w:t>
      </w:r>
      <w:r w:rsidRPr="00067284">
        <w:rPr>
          <w:rFonts w:ascii="Calibri" w:eastAsia="Calibri" w:hAnsi="Calibri"/>
          <w:sz w:val="22"/>
          <w:szCs w:val="22"/>
          <w:lang w:val="de-DE" w:eastAsia="en-US"/>
        </w:rPr>
        <w:t xml:space="preserve"> in Verbindung gebracht werden kann, hat das französische Äquivalent – </w:t>
      </w:r>
      <w:r w:rsidRPr="00067284">
        <w:rPr>
          <w:rFonts w:ascii="Calibri" w:eastAsia="Calibri" w:hAnsi="Calibri"/>
          <w:i/>
          <w:iCs/>
          <w:sz w:val="22"/>
          <w:szCs w:val="22"/>
          <w:lang w:val="de-DE" w:eastAsia="en-US"/>
        </w:rPr>
        <w:t>analphbétism</w:t>
      </w:r>
      <w:r w:rsidRPr="00067284">
        <w:rPr>
          <w:rFonts w:ascii="Calibri" w:eastAsia="Calibri" w:hAnsi="Calibri"/>
          <w:sz w:val="22"/>
          <w:szCs w:val="22"/>
          <w:lang w:val="de-DE" w:eastAsia="en-US"/>
        </w:rPr>
        <w:t xml:space="preserve"> – keine solche morphologische Ähnlichkeit </w:t>
      </w:r>
      <w:sdt>
        <w:sdtPr>
          <w:rPr>
            <w:rFonts w:ascii="Calibri" w:eastAsia="Calibri" w:hAnsi="Calibri"/>
            <w:sz w:val="22"/>
            <w:szCs w:val="22"/>
            <w:lang w:val="de-DE" w:eastAsia="en-US"/>
          </w:rPr>
          <w:id w:val="-1681657827"/>
          <w:citation/>
        </w:sdtPr>
        <w:sdtContent>
          <w:r w:rsidRPr="00067284">
            <w:rPr>
              <w:rFonts w:ascii="Calibri" w:eastAsia="Calibri" w:hAnsi="Calibri"/>
              <w:sz w:val="22"/>
              <w:szCs w:val="22"/>
              <w:lang w:val="de-DE" w:eastAsia="en-US"/>
            </w:rPr>
            <w:fldChar w:fldCharType="begin"/>
          </w:r>
          <w:r w:rsidRPr="00067284">
            <w:rPr>
              <w:rFonts w:ascii="Calibri" w:eastAsia="Calibri" w:hAnsi="Calibri"/>
              <w:sz w:val="22"/>
              <w:szCs w:val="22"/>
              <w:lang w:val="de-DE" w:eastAsia="en-US"/>
            </w:rPr>
            <w:instrText xml:space="preserve"> CITATION UNE06 \l 2057 </w:instrText>
          </w:r>
          <w:r w:rsidRPr="00067284">
            <w:rPr>
              <w:rFonts w:ascii="Calibri" w:eastAsia="Calibri" w:hAnsi="Calibri"/>
              <w:sz w:val="22"/>
              <w:szCs w:val="22"/>
              <w:lang w:val="de-DE" w:eastAsia="en-US"/>
            </w:rPr>
            <w:fldChar w:fldCharType="separate"/>
          </w:r>
          <w:r w:rsidRPr="00067284">
            <w:rPr>
              <w:rFonts w:ascii="Calibri" w:eastAsia="Calibri" w:hAnsi="Calibri"/>
              <w:sz w:val="22"/>
              <w:szCs w:val="22"/>
              <w:lang w:val="de-DE" w:eastAsia="en-US"/>
            </w:rPr>
            <w:t>(UNESCO, 2006)</w:t>
          </w:r>
          <w:r w:rsidRPr="00067284">
            <w:rPr>
              <w:rFonts w:ascii="Calibri" w:eastAsia="Calibri" w:hAnsi="Calibri"/>
              <w:sz w:val="22"/>
              <w:szCs w:val="22"/>
              <w:lang w:val="de-DE" w:eastAsia="en-US"/>
            </w:rPr>
            <w:fldChar w:fldCharType="end"/>
          </w:r>
        </w:sdtContent>
      </w:sdt>
      <w:r w:rsidRPr="00067284">
        <w:rPr>
          <w:rFonts w:ascii="Calibri" w:eastAsia="Calibri" w:hAnsi="Calibri"/>
          <w:sz w:val="22"/>
          <w:szCs w:val="22"/>
          <w:lang w:val="de-DE" w:eastAsia="en-US"/>
        </w:rPr>
        <w:t xml:space="preserve">. Darüber hinaus vermittelt der französische Begriff </w:t>
      </w:r>
      <w:r w:rsidRPr="00067284">
        <w:rPr>
          <w:rFonts w:ascii="Calibri" w:eastAsia="Calibri" w:hAnsi="Calibri"/>
          <w:i/>
          <w:iCs/>
          <w:sz w:val="22"/>
          <w:szCs w:val="22"/>
          <w:lang w:val="de-DE" w:eastAsia="en-US"/>
        </w:rPr>
        <w:t>la littératie</w:t>
      </w:r>
      <w:r w:rsidRPr="00067284">
        <w:rPr>
          <w:rFonts w:ascii="Calibri" w:eastAsia="Calibri" w:hAnsi="Calibri"/>
          <w:sz w:val="22"/>
          <w:szCs w:val="22"/>
          <w:lang w:val="de-DE" w:eastAsia="en-US"/>
        </w:rPr>
        <w:t>, obwohl er eindeutig morphologisch verwandt ist, eine ganz andere Botschaft, die beispielsweise definiert ist als ‚des processus continus et actifs qui commencent à la naissance et se développent tout au long de la vie‘</w:t>
      </w:r>
      <w:r w:rsidRPr="00067284">
        <w:rPr>
          <w:rFonts w:ascii="Calibri" w:eastAsia="Calibri" w:hAnsi="Calibri"/>
          <w:iCs/>
          <w:sz w:val="22"/>
          <w:szCs w:val="22"/>
          <w:lang w:val="de-DE" w:eastAsia="en-US"/>
        </w:rPr>
        <w:t xml:space="preserve"> </w:t>
      </w:r>
      <w:sdt>
        <w:sdtPr>
          <w:rPr>
            <w:rFonts w:ascii="Calibri" w:eastAsia="Calibri" w:hAnsi="Calibri"/>
            <w:iCs/>
            <w:sz w:val="22"/>
            <w:szCs w:val="22"/>
            <w:lang w:val="de-DE" w:eastAsia="en-US"/>
          </w:rPr>
          <w:id w:val="97536108"/>
          <w:citation/>
        </w:sdtPr>
        <w:sdtContent>
          <w:r w:rsidRPr="00067284">
            <w:rPr>
              <w:rFonts w:ascii="Calibri" w:eastAsia="Calibri" w:hAnsi="Calibri"/>
              <w:iCs/>
              <w:sz w:val="22"/>
              <w:szCs w:val="22"/>
              <w:lang w:val="de-DE" w:eastAsia="en-US"/>
            </w:rPr>
            <w:fldChar w:fldCharType="begin"/>
          </w:r>
          <w:r w:rsidRPr="00067284">
            <w:rPr>
              <w:rFonts w:ascii="Calibri" w:eastAsia="Calibri" w:hAnsi="Calibri"/>
              <w:iCs/>
              <w:sz w:val="22"/>
              <w:szCs w:val="22"/>
              <w:lang w:val="de-DE" w:eastAsia="en-US"/>
            </w:rPr>
            <w:instrText xml:space="preserve"> CITATION nn19 \l 2057 </w:instrText>
          </w:r>
          <w:r w:rsidRPr="00067284">
            <w:rPr>
              <w:rFonts w:ascii="Calibri" w:eastAsia="Calibri" w:hAnsi="Calibri"/>
              <w:iCs/>
              <w:sz w:val="22"/>
              <w:szCs w:val="22"/>
              <w:lang w:val="de-DE" w:eastAsia="en-US"/>
            </w:rPr>
            <w:fldChar w:fldCharType="separate"/>
          </w:r>
          <w:r w:rsidRPr="00067284">
            <w:rPr>
              <w:rFonts w:ascii="Calibri" w:eastAsia="Calibri" w:hAnsi="Calibri"/>
              <w:sz w:val="22"/>
              <w:szCs w:val="22"/>
              <w:lang w:val="de-DE" w:eastAsia="en-US"/>
            </w:rPr>
            <w:t>(Alberta Education, 2019)</w:t>
          </w:r>
          <w:r w:rsidRPr="00067284">
            <w:rPr>
              <w:rFonts w:ascii="Calibri" w:eastAsia="Calibri" w:hAnsi="Calibri"/>
              <w:iCs/>
              <w:sz w:val="22"/>
              <w:szCs w:val="22"/>
              <w:lang w:val="de-DE" w:eastAsia="en-US"/>
            </w:rPr>
            <w:fldChar w:fldCharType="end"/>
          </w:r>
        </w:sdtContent>
      </w:sdt>
      <w:r w:rsidRPr="00067284">
        <w:rPr>
          <w:rFonts w:ascii="Calibri" w:eastAsia="Calibri" w:hAnsi="Calibri"/>
          <w:iCs/>
          <w:sz w:val="22"/>
          <w:szCs w:val="22"/>
          <w:lang w:val="de-DE" w:eastAsia="en-US"/>
        </w:rPr>
        <w:t xml:space="preserve"> oder Fähigkeiten, die auf Umgebung und Arbeitsplatz angewendet werden. Es wurden vier verschiedene Arten der Literarität identifiziert </w:t>
      </w:r>
      <w:sdt>
        <w:sdtPr>
          <w:rPr>
            <w:rFonts w:ascii="Calibri" w:eastAsia="Calibri" w:hAnsi="Calibri"/>
            <w:iCs/>
            <w:sz w:val="22"/>
            <w:szCs w:val="22"/>
            <w:lang w:val="de-DE" w:eastAsia="en-US"/>
          </w:rPr>
          <w:id w:val="-1072434776"/>
          <w:citation/>
        </w:sdtPr>
        <w:sdtContent>
          <w:r w:rsidRPr="00067284">
            <w:rPr>
              <w:rFonts w:ascii="Calibri" w:eastAsia="Calibri" w:hAnsi="Calibri"/>
              <w:iCs/>
              <w:sz w:val="22"/>
              <w:szCs w:val="22"/>
              <w:lang w:val="de-DE" w:eastAsia="en-US"/>
            </w:rPr>
            <w:fldChar w:fldCharType="begin"/>
          </w:r>
          <w:r w:rsidRPr="00067284">
            <w:rPr>
              <w:rFonts w:ascii="Calibri" w:eastAsia="Calibri" w:hAnsi="Calibri"/>
              <w:iCs/>
              <w:sz w:val="22"/>
              <w:szCs w:val="22"/>
              <w:lang w:val="de-DE" w:eastAsia="en-US"/>
            </w:rPr>
            <w:instrText xml:space="preserve"> CITATION UNE06 \l 2057 </w:instrText>
          </w:r>
          <w:r w:rsidRPr="00067284">
            <w:rPr>
              <w:rFonts w:ascii="Calibri" w:eastAsia="Calibri" w:hAnsi="Calibri"/>
              <w:iCs/>
              <w:sz w:val="22"/>
              <w:szCs w:val="22"/>
              <w:lang w:val="de-DE" w:eastAsia="en-US"/>
            </w:rPr>
            <w:fldChar w:fldCharType="separate"/>
          </w:r>
          <w:r w:rsidRPr="00067284">
            <w:rPr>
              <w:rFonts w:ascii="Calibri" w:eastAsia="Calibri" w:hAnsi="Calibri"/>
              <w:sz w:val="22"/>
              <w:szCs w:val="22"/>
              <w:lang w:val="de-DE" w:eastAsia="en-US"/>
            </w:rPr>
            <w:t>(UNESCO, 2006)</w:t>
          </w:r>
          <w:r w:rsidRPr="00067284">
            <w:rPr>
              <w:rFonts w:ascii="Calibri" w:eastAsia="Calibri" w:hAnsi="Calibri"/>
              <w:iCs/>
              <w:sz w:val="22"/>
              <w:szCs w:val="22"/>
              <w:lang w:val="de-DE" w:eastAsia="en-US"/>
            </w:rPr>
            <w:fldChar w:fldCharType="end"/>
          </w:r>
        </w:sdtContent>
      </w:sdt>
      <w:r w:rsidRPr="00067284">
        <w:rPr>
          <w:rFonts w:ascii="Calibri" w:eastAsia="Calibri" w:hAnsi="Calibri"/>
          <w:iCs/>
          <w:sz w:val="22"/>
          <w:szCs w:val="22"/>
          <w:lang w:val="de-DE" w:eastAsia="en-US"/>
        </w:rPr>
        <w:t>, aus denen die ELIC-Definition der Literarität abgeleitet wurde:</w:t>
      </w:r>
    </w:p>
    <w:p w14:paraId="7F075629" w14:textId="77777777" w:rsidR="00067284" w:rsidRPr="00067284" w:rsidRDefault="00067284" w:rsidP="00067284">
      <w:pPr>
        <w:numPr>
          <w:ilvl w:val="0"/>
          <w:numId w:val="36"/>
        </w:numPr>
        <w:spacing w:after="160" w:line="259" w:lineRule="auto"/>
        <w:contextualSpacing/>
        <w:rPr>
          <w:rFonts w:ascii="Calibri" w:eastAsia="Calibri" w:hAnsi="Calibri"/>
          <w:iCs/>
          <w:sz w:val="22"/>
          <w:szCs w:val="22"/>
          <w:lang w:val="de-DE" w:eastAsia="en-US"/>
        </w:rPr>
      </w:pPr>
      <w:r w:rsidRPr="00067284">
        <w:rPr>
          <w:rFonts w:ascii="Calibri" w:eastAsia="Calibri" w:hAnsi="Calibri"/>
          <w:b/>
          <w:bCs/>
          <w:iCs/>
          <w:sz w:val="22"/>
          <w:szCs w:val="22"/>
          <w:lang w:val="de-DE" w:eastAsia="en-US"/>
        </w:rPr>
        <w:t xml:space="preserve">Literarität als </w:t>
      </w:r>
      <w:r w:rsidRPr="00067284">
        <w:rPr>
          <w:rFonts w:ascii="Calibri" w:eastAsia="Calibri" w:hAnsi="Calibri"/>
          <w:b/>
          <w:bCs/>
          <w:i/>
          <w:sz w:val="22"/>
          <w:szCs w:val="22"/>
          <w:lang w:val="de-DE" w:eastAsia="en-US"/>
        </w:rPr>
        <w:t>Fähigkeiten</w:t>
      </w:r>
      <w:r w:rsidRPr="00067284">
        <w:rPr>
          <w:rFonts w:ascii="Calibri" w:eastAsia="Calibri" w:hAnsi="Calibri"/>
          <w:iCs/>
          <w:sz w:val="22"/>
          <w:szCs w:val="22"/>
          <w:lang w:val="de-DE" w:eastAsia="en-US"/>
        </w:rPr>
        <w:t>: Fähigkeiten wie Lesen und Schreiben, aber auch Rechnen, am Arbeitsplatz angewandte Fähigkeiten sowie Informationsliterarität, die Fähigkeit, neue Medien zur Kommunikation zu nutzen.</w:t>
      </w:r>
    </w:p>
    <w:p w14:paraId="57814E6A" w14:textId="77777777" w:rsidR="00067284" w:rsidRPr="00067284" w:rsidRDefault="00067284" w:rsidP="00067284">
      <w:pPr>
        <w:numPr>
          <w:ilvl w:val="0"/>
          <w:numId w:val="36"/>
        </w:numPr>
        <w:spacing w:after="160" w:line="259" w:lineRule="auto"/>
        <w:contextualSpacing/>
        <w:rPr>
          <w:rFonts w:ascii="Calibri" w:eastAsia="Calibri" w:hAnsi="Calibri"/>
          <w:iCs/>
          <w:sz w:val="22"/>
          <w:szCs w:val="22"/>
          <w:lang w:val="de-DE" w:eastAsia="en-US"/>
        </w:rPr>
      </w:pPr>
      <w:r w:rsidRPr="00067284">
        <w:rPr>
          <w:rFonts w:ascii="Calibri" w:eastAsia="Calibri" w:hAnsi="Calibri"/>
          <w:b/>
          <w:bCs/>
          <w:iCs/>
          <w:sz w:val="22"/>
          <w:szCs w:val="22"/>
          <w:lang w:val="de-DE" w:eastAsia="en-US"/>
        </w:rPr>
        <w:t xml:space="preserve">Literarität, </w:t>
      </w:r>
      <w:r w:rsidRPr="00067284">
        <w:rPr>
          <w:rFonts w:ascii="Calibri" w:eastAsia="Calibri" w:hAnsi="Calibri"/>
          <w:b/>
          <w:bCs/>
          <w:i/>
          <w:sz w:val="22"/>
          <w:szCs w:val="22"/>
          <w:lang w:val="de-DE" w:eastAsia="en-US"/>
        </w:rPr>
        <w:t>angewandt und praktiziert</w:t>
      </w:r>
      <w:r w:rsidRPr="00067284">
        <w:rPr>
          <w:rFonts w:ascii="Calibri" w:eastAsia="Calibri" w:hAnsi="Calibri"/>
          <w:iCs/>
          <w:sz w:val="22"/>
          <w:szCs w:val="22"/>
          <w:lang w:val="de-DE" w:eastAsia="en-US"/>
        </w:rPr>
        <w:t>: Funktionale Literarität, die für ein bestimmtes Ereignis angemessen ist, was erklären kann, warum Analphabeten in bestimmten Situationen gut funktionieren.</w:t>
      </w:r>
    </w:p>
    <w:p w14:paraId="16AA2B87" w14:textId="77777777" w:rsidR="00067284" w:rsidRPr="00067284" w:rsidRDefault="00067284" w:rsidP="00067284">
      <w:pPr>
        <w:numPr>
          <w:ilvl w:val="0"/>
          <w:numId w:val="36"/>
        </w:numPr>
        <w:spacing w:after="160" w:line="259" w:lineRule="auto"/>
        <w:contextualSpacing/>
        <w:rPr>
          <w:rFonts w:ascii="Calibri" w:eastAsia="Calibri" w:hAnsi="Calibri"/>
          <w:iCs/>
          <w:sz w:val="22"/>
          <w:szCs w:val="22"/>
          <w:lang w:val="de-DE" w:eastAsia="en-US"/>
        </w:rPr>
      </w:pPr>
      <w:r w:rsidRPr="00067284">
        <w:rPr>
          <w:rFonts w:ascii="Calibri" w:eastAsia="Calibri" w:hAnsi="Calibri"/>
          <w:b/>
          <w:iCs/>
          <w:sz w:val="22"/>
          <w:szCs w:val="22"/>
          <w:lang w:val="de-DE" w:eastAsia="en-US"/>
        </w:rPr>
        <w:t>Literarität</w:t>
      </w:r>
      <w:r w:rsidRPr="00067284">
        <w:rPr>
          <w:rFonts w:ascii="Calibri" w:eastAsia="Calibri" w:hAnsi="Calibri"/>
          <w:b/>
          <w:bCs/>
          <w:iCs/>
          <w:sz w:val="22"/>
          <w:szCs w:val="22"/>
          <w:lang w:val="de-DE" w:eastAsia="en-US"/>
        </w:rPr>
        <w:t xml:space="preserve"> als</w:t>
      </w:r>
      <w:r w:rsidRPr="00067284">
        <w:rPr>
          <w:rFonts w:ascii="Calibri" w:eastAsia="Calibri" w:hAnsi="Calibri"/>
          <w:b/>
          <w:bCs/>
          <w:i/>
          <w:sz w:val="22"/>
          <w:szCs w:val="22"/>
          <w:lang w:val="de-DE" w:eastAsia="en-US"/>
        </w:rPr>
        <w:t xml:space="preserve"> Lernprozess</w:t>
      </w:r>
      <w:r w:rsidRPr="00067284">
        <w:rPr>
          <w:rFonts w:ascii="Calibri" w:eastAsia="Calibri" w:hAnsi="Calibri"/>
          <w:iCs/>
          <w:sz w:val="22"/>
          <w:szCs w:val="22"/>
          <w:lang w:val="de-DE" w:eastAsia="en-US"/>
        </w:rPr>
        <w:t xml:space="preserve">: Lernen schafft einen Zyklus, der selbst die Literarität erhöht, da konstruktivistische Lernerfahrungen es den Lernenden ermöglichen, ihr Lernen zu verstehen. Diese Idee spiegelt sich in der Theorie des experimentellen Lernzyklus wider </w:t>
      </w:r>
      <w:sdt>
        <w:sdtPr>
          <w:rPr>
            <w:rFonts w:ascii="Calibri" w:eastAsia="Calibri" w:hAnsi="Calibri"/>
            <w:iCs/>
            <w:sz w:val="22"/>
            <w:szCs w:val="22"/>
            <w:lang w:val="de-DE" w:eastAsia="en-US"/>
          </w:rPr>
          <w:id w:val="24845969"/>
          <w:citation/>
        </w:sdtPr>
        <w:sdtContent>
          <w:r w:rsidRPr="00067284">
            <w:rPr>
              <w:rFonts w:ascii="Calibri" w:eastAsia="Calibri" w:hAnsi="Calibri"/>
              <w:iCs/>
              <w:sz w:val="22"/>
              <w:szCs w:val="22"/>
              <w:lang w:val="de-DE" w:eastAsia="en-US"/>
            </w:rPr>
            <w:fldChar w:fldCharType="begin"/>
          </w:r>
          <w:r w:rsidRPr="00067284">
            <w:rPr>
              <w:rFonts w:ascii="Calibri" w:eastAsia="Calibri" w:hAnsi="Calibri"/>
              <w:iCs/>
              <w:sz w:val="22"/>
              <w:szCs w:val="22"/>
              <w:lang w:val="de-DE" w:eastAsia="en-US"/>
            </w:rPr>
            <w:instrText xml:space="preserve"> CITATION Kol84 \l 2057 </w:instrText>
          </w:r>
          <w:r w:rsidRPr="00067284">
            <w:rPr>
              <w:rFonts w:ascii="Calibri" w:eastAsia="Calibri" w:hAnsi="Calibri"/>
              <w:iCs/>
              <w:sz w:val="22"/>
              <w:szCs w:val="22"/>
              <w:lang w:val="de-DE" w:eastAsia="en-US"/>
            </w:rPr>
            <w:fldChar w:fldCharType="separate"/>
          </w:r>
          <w:r w:rsidRPr="00067284">
            <w:rPr>
              <w:rFonts w:ascii="Calibri" w:eastAsia="Calibri" w:hAnsi="Calibri"/>
              <w:sz w:val="22"/>
              <w:szCs w:val="22"/>
              <w:lang w:val="de-DE" w:eastAsia="en-US"/>
            </w:rPr>
            <w:t>(Kolb, 1984)</w:t>
          </w:r>
          <w:r w:rsidRPr="00067284">
            <w:rPr>
              <w:rFonts w:ascii="Calibri" w:eastAsia="Calibri" w:hAnsi="Calibri"/>
              <w:iCs/>
              <w:sz w:val="22"/>
              <w:szCs w:val="22"/>
              <w:lang w:val="de-DE" w:eastAsia="en-US"/>
            </w:rPr>
            <w:fldChar w:fldCharType="end"/>
          </w:r>
        </w:sdtContent>
      </w:sdt>
      <w:r w:rsidRPr="00067284">
        <w:rPr>
          <w:rFonts w:ascii="Calibri" w:eastAsia="Calibri" w:hAnsi="Calibri"/>
          <w:iCs/>
          <w:sz w:val="22"/>
          <w:szCs w:val="22"/>
          <w:lang w:val="de-DE" w:eastAsia="en-US"/>
        </w:rPr>
        <w:t>, wo konkrete Erfahrungen zur Reflektion und dann wiederum zur Konzeptualisierung und schließlich zum Experimentieren führen. Dies lässt sich im Konzept der kritischen Literarität  weiter ausbauen, bei der soziokulturelle Realitäten in den Lernprozess integriert werden (zum Beispiel wie wir in unserer Gesellschaft durch Wörter, Sprachen, von uns verwendete Texte und Begegnungen geformt und eingeordnet werden).</w:t>
      </w:r>
    </w:p>
    <w:p w14:paraId="1954868E" w14:textId="77777777" w:rsidR="00067284" w:rsidRPr="00067284" w:rsidRDefault="00067284" w:rsidP="00067284">
      <w:pPr>
        <w:numPr>
          <w:ilvl w:val="0"/>
          <w:numId w:val="36"/>
        </w:numPr>
        <w:spacing w:after="160" w:line="259" w:lineRule="auto"/>
        <w:contextualSpacing/>
        <w:rPr>
          <w:rFonts w:ascii="Calibri" w:eastAsia="Calibri" w:hAnsi="Calibri"/>
          <w:iCs/>
          <w:sz w:val="22"/>
          <w:szCs w:val="22"/>
          <w:lang w:val="de-DE" w:eastAsia="en-US"/>
        </w:rPr>
      </w:pPr>
      <w:r w:rsidRPr="00067284">
        <w:rPr>
          <w:rFonts w:ascii="Calibri" w:eastAsia="Calibri" w:hAnsi="Calibri"/>
          <w:b/>
          <w:bCs/>
          <w:iCs/>
          <w:sz w:val="22"/>
          <w:szCs w:val="22"/>
          <w:lang w:val="de-DE" w:eastAsia="en-US"/>
        </w:rPr>
        <w:t xml:space="preserve">Literarität als </w:t>
      </w:r>
      <w:r w:rsidRPr="00067284">
        <w:rPr>
          <w:rFonts w:ascii="Calibri" w:eastAsia="Calibri" w:hAnsi="Calibri"/>
          <w:b/>
          <w:bCs/>
          <w:i/>
          <w:sz w:val="22"/>
          <w:szCs w:val="22"/>
          <w:lang w:val="de-DE" w:eastAsia="en-US"/>
        </w:rPr>
        <w:t>Text</w:t>
      </w:r>
      <w:r w:rsidRPr="00067284">
        <w:rPr>
          <w:rFonts w:ascii="Calibri" w:eastAsia="Calibri" w:hAnsi="Calibri"/>
          <w:iCs/>
          <w:sz w:val="22"/>
          <w:szCs w:val="22"/>
          <w:lang w:val="de-DE" w:eastAsia="en-US"/>
        </w:rPr>
        <w:t>: Literarität</w:t>
      </w:r>
      <w:r w:rsidRPr="00067284" w:rsidDel="00FB0389">
        <w:rPr>
          <w:rFonts w:ascii="Calibri" w:eastAsia="Calibri" w:hAnsi="Calibri"/>
          <w:iCs/>
          <w:sz w:val="22"/>
          <w:szCs w:val="22"/>
          <w:lang w:val="de-DE" w:eastAsia="en-US"/>
        </w:rPr>
        <w:t xml:space="preserve"> </w:t>
      </w:r>
      <w:r w:rsidRPr="00067284">
        <w:rPr>
          <w:rFonts w:ascii="Calibri" w:eastAsia="Calibri" w:hAnsi="Calibri"/>
          <w:iCs/>
          <w:sz w:val="22"/>
          <w:szCs w:val="22"/>
          <w:lang w:val="de-DE" w:eastAsia="en-US"/>
        </w:rPr>
        <w:t>als Gegenstand – zum Beispiel der physische Text. Der Text kann je nach Genre, der Komplexität der Sprache und der zugrundeliegenden Ideologie variieren. Verschärft wurde dies in den letzten Jahren durch neue Texttypen (oder neue Literaritäten) wie so genannte New-Media-Beispiele, zu denen nicht nur Websites und SMS-Nachrichten, sondern auch Web 2.0-Technologien wie Facebook, WhatsApp und Instagram gehören.</w:t>
      </w:r>
    </w:p>
    <w:p w14:paraId="5ABAA504" w14:textId="77777777" w:rsidR="00067284" w:rsidRPr="00067284" w:rsidRDefault="00067284" w:rsidP="00067284">
      <w:pPr>
        <w:spacing w:after="160" w:line="259" w:lineRule="auto"/>
        <w:rPr>
          <w:rFonts w:ascii="Calibri" w:eastAsia="Calibri" w:hAnsi="Calibri"/>
          <w:iCs/>
          <w:sz w:val="22"/>
          <w:szCs w:val="22"/>
          <w:lang w:val="de-DE" w:eastAsia="en-US"/>
        </w:rPr>
      </w:pPr>
      <w:r w:rsidRPr="00067284">
        <w:rPr>
          <w:rFonts w:ascii="Calibri" w:eastAsia="Calibri" w:hAnsi="Calibri"/>
          <w:iCs/>
          <w:sz w:val="22"/>
          <w:szCs w:val="22"/>
          <w:lang w:val="de-DE" w:eastAsia="en-US"/>
        </w:rPr>
        <w:lastRenderedPageBreak/>
        <w:t xml:space="preserve">Wenn man die Literarität insbesondere im Hinblick auf diesen vierten Punkt – Literarität als Text – betrachtet, gibt es zahlreiche Hinweise </w:t>
      </w:r>
      <w:sdt>
        <w:sdtPr>
          <w:rPr>
            <w:rFonts w:ascii="Calibri" w:eastAsia="Calibri" w:hAnsi="Calibri"/>
            <w:sz w:val="22"/>
            <w:szCs w:val="22"/>
            <w:lang w:val="de-DE" w:eastAsia="en-US"/>
          </w:rPr>
          <w:id w:val="-1182667476"/>
          <w:citation/>
        </w:sdtPr>
        <w:sdtContent>
          <w:r w:rsidRPr="00067284">
            <w:rPr>
              <w:rFonts w:ascii="Calibri" w:eastAsia="Calibri" w:hAnsi="Calibri"/>
              <w:iCs/>
              <w:sz w:val="22"/>
              <w:szCs w:val="22"/>
              <w:lang w:val="de-DE" w:eastAsia="en-US"/>
            </w:rPr>
            <w:fldChar w:fldCharType="begin"/>
          </w:r>
          <w:r w:rsidRPr="00067284">
            <w:rPr>
              <w:rFonts w:ascii="Calibri" w:eastAsia="Calibri" w:hAnsi="Calibri"/>
              <w:iCs/>
              <w:sz w:val="22"/>
              <w:szCs w:val="22"/>
              <w:lang w:val="de-DE" w:eastAsia="en-US"/>
            </w:rPr>
            <w:instrText xml:space="preserve">CITATION Ell07 \m Lan061 \l 2057 </w:instrText>
          </w:r>
          <w:r w:rsidRPr="00067284">
            <w:rPr>
              <w:rFonts w:ascii="Calibri" w:eastAsia="Calibri" w:hAnsi="Calibri"/>
              <w:iCs/>
              <w:sz w:val="22"/>
              <w:szCs w:val="22"/>
              <w:lang w:val="de-DE" w:eastAsia="en-US"/>
            </w:rPr>
            <w:fldChar w:fldCharType="separate"/>
          </w:r>
          <w:r w:rsidRPr="00067284">
            <w:rPr>
              <w:rFonts w:ascii="Calibri" w:eastAsia="Calibri" w:hAnsi="Calibri"/>
              <w:sz w:val="22"/>
              <w:szCs w:val="22"/>
              <w:lang w:val="de-DE" w:eastAsia="en-US"/>
            </w:rPr>
            <w:t>(Elliot, 2007; Lankshear &amp; Knobel, 2011)</w:t>
          </w:r>
          <w:r w:rsidRPr="00067284">
            <w:rPr>
              <w:rFonts w:ascii="Calibri" w:eastAsia="Calibri" w:hAnsi="Calibri"/>
              <w:iCs/>
              <w:sz w:val="22"/>
              <w:szCs w:val="22"/>
              <w:lang w:val="de-DE" w:eastAsia="en-US"/>
            </w:rPr>
            <w:fldChar w:fldCharType="end"/>
          </w:r>
        </w:sdtContent>
      </w:sdt>
      <w:r w:rsidRPr="00067284">
        <w:rPr>
          <w:rFonts w:ascii="Calibri" w:eastAsia="Calibri" w:hAnsi="Calibri"/>
          <w:sz w:val="22"/>
          <w:szCs w:val="22"/>
          <w:lang w:val="de-DE" w:eastAsia="en-US"/>
        </w:rPr>
        <w:t>,</w:t>
      </w:r>
      <w:r w:rsidRPr="00067284">
        <w:rPr>
          <w:rFonts w:ascii="Calibri" w:eastAsia="Calibri" w:hAnsi="Calibri"/>
          <w:iCs/>
          <w:sz w:val="22"/>
          <w:szCs w:val="22"/>
          <w:lang w:val="de-DE" w:eastAsia="en-US"/>
        </w:rPr>
        <w:t xml:space="preserve"> die auf eine Trennung zwischen diesen Medien hindeuten, um die Literarität zu vermitteln, wie sie von Lehrern und ihren Schülern genutzt wird. Ein möglicher Grund könnte die digitale Ursprünglichkeit dieser Akteure sein </w:t>
      </w:r>
      <w:sdt>
        <w:sdtPr>
          <w:rPr>
            <w:rFonts w:ascii="Calibri" w:eastAsia="Calibri" w:hAnsi="Calibri"/>
            <w:sz w:val="22"/>
            <w:szCs w:val="22"/>
            <w:lang w:val="de-DE" w:eastAsia="en-US"/>
          </w:rPr>
          <w:id w:val="-676347688"/>
          <w:citation/>
        </w:sdtPr>
        <w:sdtContent>
          <w:r w:rsidRPr="00067284">
            <w:rPr>
              <w:rFonts w:ascii="Calibri" w:eastAsia="Calibri" w:hAnsi="Calibri"/>
              <w:iCs/>
              <w:sz w:val="22"/>
              <w:szCs w:val="22"/>
              <w:lang w:val="de-DE" w:eastAsia="en-US"/>
            </w:rPr>
            <w:fldChar w:fldCharType="begin"/>
          </w:r>
          <w:r w:rsidRPr="00067284">
            <w:rPr>
              <w:rFonts w:ascii="Calibri" w:eastAsia="Calibri" w:hAnsi="Calibri"/>
              <w:iCs/>
              <w:sz w:val="22"/>
              <w:szCs w:val="22"/>
              <w:lang w:val="de-DE" w:eastAsia="en-US"/>
            </w:rPr>
            <w:instrText xml:space="preserve"> CITATION Pre01 \l 2057 </w:instrText>
          </w:r>
          <w:r w:rsidRPr="00067284">
            <w:rPr>
              <w:rFonts w:ascii="Calibri" w:eastAsia="Calibri" w:hAnsi="Calibri"/>
              <w:iCs/>
              <w:sz w:val="22"/>
              <w:szCs w:val="22"/>
              <w:lang w:val="de-DE" w:eastAsia="en-US"/>
            </w:rPr>
            <w:fldChar w:fldCharType="separate"/>
          </w:r>
          <w:r w:rsidRPr="00067284">
            <w:rPr>
              <w:rFonts w:ascii="Calibri" w:eastAsia="Calibri" w:hAnsi="Calibri"/>
              <w:sz w:val="22"/>
              <w:szCs w:val="22"/>
              <w:lang w:val="de-DE" w:eastAsia="en-US"/>
            </w:rPr>
            <w:t>(Prensky, 2001)</w:t>
          </w:r>
          <w:r w:rsidRPr="00067284">
            <w:rPr>
              <w:rFonts w:ascii="Calibri" w:eastAsia="Calibri" w:hAnsi="Calibri"/>
              <w:iCs/>
              <w:sz w:val="22"/>
              <w:szCs w:val="22"/>
              <w:lang w:val="de-DE" w:eastAsia="en-US"/>
            </w:rPr>
            <w:fldChar w:fldCharType="end"/>
          </w:r>
        </w:sdtContent>
      </w:sdt>
      <w:r w:rsidRPr="00067284">
        <w:rPr>
          <w:rFonts w:ascii="Calibri" w:eastAsia="Calibri" w:hAnsi="Calibri"/>
          <w:iCs/>
          <w:sz w:val="22"/>
          <w:szCs w:val="22"/>
          <w:lang w:val="de-DE" w:eastAsia="en-US"/>
        </w:rPr>
        <w:t xml:space="preserve">, die sich leichter durch die typische Alterslücke zwischen Lehrer und Schüler darstellen lässt, wo das Durchschnittsalter eines Sekundarlehrers 43 Jahre </w:t>
      </w:r>
      <w:sdt>
        <w:sdtPr>
          <w:rPr>
            <w:rFonts w:ascii="Calibri" w:eastAsia="Calibri" w:hAnsi="Calibri"/>
            <w:sz w:val="22"/>
            <w:szCs w:val="22"/>
            <w:lang w:val="de-DE" w:eastAsia="en-US"/>
          </w:rPr>
          <w:id w:val="520284768"/>
          <w:citation/>
        </w:sdtPr>
        <w:sdtContent>
          <w:r w:rsidRPr="00067284">
            <w:rPr>
              <w:rFonts w:ascii="Calibri" w:eastAsia="Calibri" w:hAnsi="Calibri"/>
              <w:iCs/>
              <w:sz w:val="22"/>
              <w:szCs w:val="22"/>
              <w:lang w:val="de-DE" w:eastAsia="en-US"/>
            </w:rPr>
            <w:fldChar w:fldCharType="begin"/>
          </w:r>
          <w:r w:rsidRPr="00067284">
            <w:rPr>
              <w:rFonts w:ascii="Calibri" w:eastAsia="Calibri" w:hAnsi="Calibri"/>
              <w:iCs/>
              <w:sz w:val="22"/>
              <w:szCs w:val="22"/>
              <w:lang w:val="de-DE" w:eastAsia="en-US"/>
            </w:rPr>
            <w:instrText xml:space="preserve"> CITATION TAL13 \l 2057 </w:instrText>
          </w:r>
          <w:r w:rsidRPr="00067284">
            <w:rPr>
              <w:rFonts w:ascii="Calibri" w:eastAsia="Calibri" w:hAnsi="Calibri"/>
              <w:iCs/>
              <w:sz w:val="22"/>
              <w:szCs w:val="22"/>
              <w:lang w:val="de-DE" w:eastAsia="en-US"/>
            </w:rPr>
            <w:fldChar w:fldCharType="separate"/>
          </w:r>
          <w:r w:rsidRPr="00067284">
            <w:rPr>
              <w:rFonts w:ascii="Calibri" w:eastAsia="Calibri" w:hAnsi="Calibri"/>
              <w:sz w:val="22"/>
              <w:szCs w:val="22"/>
              <w:lang w:val="de-DE" w:eastAsia="en-US"/>
            </w:rPr>
            <w:t>(TALIS, 2013)</w:t>
          </w:r>
          <w:r w:rsidRPr="00067284">
            <w:rPr>
              <w:rFonts w:ascii="Calibri" w:eastAsia="Calibri" w:hAnsi="Calibri"/>
              <w:iCs/>
              <w:sz w:val="22"/>
              <w:szCs w:val="22"/>
              <w:lang w:val="de-DE" w:eastAsia="en-US"/>
            </w:rPr>
            <w:fldChar w:fldCharType="end"/>
          </w:r>
        </w:sdtContent>
      </w:sdt>
      <w:r w:rsidRPr="00067284">
        <w:rPr>
          <w:rFonts w:ascii="Calibri" w:eastAsia="Calibri" w:hAnsi="Calibri"/>
          <w:iCs/>
          <w:sz w:val="22"/>
          <w:szCs w:val="22"/>
          <w:lang w:val="de-DE" w:eastAsia="en-US"/>
        </w:rPr>
        <w:t xml:space="preserve">, das Höchstalter eines Sekundarschülers 19 Jahre beträgt. </w:t>
      </w:r>
    </w:p>
    <w:p w14:paraId="45596378" w14:textId="77777777" w:rsidR="00067284" w:rsidRPr="00067284" w:rsidRDefault="00067284" w:rsidP="00067284">
      <w:pPr>
        <w:spacing w:after="160" w:line="259" w:lineRule="auto"/>
        <w:rPr>
          <w:rFonts w:ascii="Calibri" w:eastAsia="Calibri" w:hAnsi="Calibri"/>
          <w:iCs/>
          <w:sz w:val="22"/>
          <w:szCs w:val="22"/>
          <w:lang w:val="de-DE" w:eastAsia="en-US"/>
        </w:rPr>
      </w:pPr>
      <w:r w:rsidRPr="00067284">
        <w:rPr>
          <w:rFonts w:ascii="Calibri" w:eastAsia="Calibri" w:hAnsi="Calibri"/>
          <w:iCs/>
          <w:sz w:val="22"/>
          <w:szCs w:val="22"/>
          <w:lang w:val="de-DE" w:eastAsia="en-US"/>
        </w:rPr>
        <w:t>Die Herausforderung von ELIC bestand daher darin, diese Diskrepanz zu überbrücken, indem man sich bemüht, den interdisziplinären Unterricht durch praktische Beispiele zu unterstützen und solche neuen, stärker auf die Denkweise der Schüler ausgerichteten Literaritäten einzusetzen</w:t>
      </w:r>
      <w:r w:rsidRPr="00067284">
        <w:rPr>
          <w:rFonts w:ascii="Calibri" w:eastAsia="Calibri" w:hAnsi="Calibri"/>
          <w:sz w:val="22"/>
          <w:szCs w:val="22"/>
          <w:lang w:val="de-DE" w:eastAsia="en-US"/>
        </w:rPr>
        <w:t xml:space="preserve"> (Lankshear &amp; Knobel, 2011).</w:t>
      </w:r>
      <w:r w:rsidRPr="00067284">
        <w:rPr>
          <w:rFonts w:ascii="Calibri" w:eastAsia="Calibri" w:hAnsi="Calibri"/>
          <w:iCs/>
          <w:sz w:val="22"/>
          <w:szCs w:val="22"/>
          <w:lang w:val="de-DE" w:eastAsia="en-US"/>
        </w:rPr>
        <w:t xml:space="preserve"> Die Herausforderung wurde auf die MOOC-Teilnehmer ausgedehnt, denen praktische Beispiele für neue mathematisch-naturwissenschaftlich relevante Medien – GeoGebra und PhyPhox – gezeigt wurden, und sie wurden dann gebeten, ihre eigenen Unterrichtserfahrungen aus diesem Bereich der neuen Literarität einzubringen. </w:t>
      </w:r>
    </w:p>
    <w:p w14:paraId="1149C458" w14:textId="77777777" w:rsidR="00067284" w:rsidRPr="00067284" w:rsidRDefault="00067284" w:rsidP="00067284">
      <w:pPr>
        <w:spacing w:after="160" w:line="259" w:lineRule="auto"/>
        <w:rPr>
          <w:rFonts w:ascii="Calibri" w:eastAsia="Calibri" w:hAnsi="Calibri"/>
          <w:b/>
          <w:bCs/>
          <w:iCs/>
          <w:lang w:val="de-DE" w:eastAsia="en-US"/>
        </w:rPr>
      </w:pPr>
      <w:r w:rsidRPr="00067284">
        <w:rPr>
          <w:rFonts w:ascii="Calibri" w:eastAsia="Calibri" w:hAnsi="Calibri"/>
          <w:b/>
          <w:bCs/>
          <w:iCs/>
          <w:lang w:val="de-DE" w:eastAsia="en-US"/>
        </w:rPr>
        <w:t>Referenzen</w:t>
      </w:r>
    </w:p>
    <w:sdt>
      <w:sdtPr>
        <w:rPr>
          <w:rFonts w:ascii="Calibri" w:eastAsia="Calibri" w:hAnsi="Calibri"/>
          <w:sz w:val="22"/>
          <w:szCs w:val="22"/>
          <w:lang w:val="de-DE" w:eastAsia="en-US"/>
        </w:rPr>
        <w:id w:val="-1149671111"/>
        <w:docPartObj>
          <w:docPartGallery w:val="Bibliographies"/>
          <w:docPartUnique/>
        </w:docPartObj>
      </w:sdtPr>
      <w:sdtEndPr>
        <w:rPr>
          <w:b/>
          <w:bCs/>
        </w:rPr>
      </w:sdtEndPr>
      <w:sdtContent>
        <w:p w14:paraId="55FE1DF6" w14:textId="77777777" w:rsidR="00067284" w:rsidRPr="00067284" w:rsidRDefault="00067284" w:rsidP="00067284">
          <w:pPr>
            <w:keepNext/>
            <w:keepLines/>
            <w:spacing w:before="240" w:line="259" w:lineRule="auto"/>
            <w:outlineLvl w:val="0"/>
            <w:rPr>
              <w:rFonts w:ascii="Calibri Light" w:hAnsi="Calibri Light"/>
              <w:color w:val="2F5496"/>
              <w:sz w:val="4"/>
              <w:szCs w:val="4"/>
              <w:lang w:val="de-DE" w:eastAsia="en-GB"/>
            </w:rPr>
          </w:pPr>
        </w:p>
        <w:p w14:paraId="10D056D6" w14:textId="77777777" w:rsidR="00067284" w:rsidRPr="00067284" w:rsidRDefault="00067284" w:rsidP="00067284">
          <w:pPr>
            <w:spacing w:after="160" w:line="259" w:lineRule="auto"/>
            <w:ind w:left="720" w:hanging="720"/>
            <w:rPr>
              <w:rFonts w:ascii="Calibri" w:eastAsia="Calibri" w:hAnsi="Calibri"/>
              <w:sz w:val="20"/>
              <w:szCs w:val="20"/>
              <w:lang w:val="de-DE" w:eastAsia="en-US"/>
            </w:rPr>
          </w:pPr>
          <w:r w:rsidRPr="00067284">
            <w:rPr>
              <w:rFonts w:ascii="Calibri" w:eastAsia="Calibri" w:hAnsi="Calibri"/>
              <w:sz w:val="20"/>
              <w:szCs w:val="20"/>
              <w:lang w:val="de-DE" w:eastAsia="en-US"/>
            </w:rPr>
            <w:fldChar w:fldCharType="begin"/>
          </w:r>
          <w:r w:rsidRPr="00067284">
            <w:rPr>
              <w:rFonts w:ascii="Calibri" w:eastAsia="Calibri" w:hAnsi="Calibri"/>
              <w:sz w:val="20"/>
              <w:szCs w:val="20"/>
              <w:lang w:val="de-DE" w:eastAsia="en-US"/>
            </w:rPr>
            <w:instrText>BIBLIOGRAPHY</w:instrText>
          </w:r>
          <w:r w:rsidRPr="00067284">
            <w:rPr>
              <w:rFonts w:ascii="Calibri" w:eastAsia="Calibri" w:hAnsi="Calibri"/>
              <w:sz w:val="20"/>
              <w:szCs w:val="20"/>
              <w:lang w:val="de-DE" w:eastAsia="en-US"/>
            </w:rPr>
            <w:fldChar w:fldCharType="separate"/>
          </w:r>
          <w:r w:rsidRPr="00067284">
            <w:rPr>
              <w:rFonts w:ascii="Calibri" w:eastAsia="Calibri" w:hAnsi="Calibri"/>
              <w:sz w:val="20"/>
              <w:szCs w:val="20"/>
              <w:lang w:val="de-DE" w:eastAsia="en-US"/>
            </w:rPr>
            <w:t xml:space="preserve">Alberta Education. (2019). </w:t>
          </w:r>
          <w:r w:rsidRPr="00067284">
            <w:rPr>
              <w:rFonts w:ascii="Calibri" w:eastAsia="Calibri" w:hAnsi="Calibri"/>
              <w:i/>
              <w:iCs/>
              <w:sz w:val="20"/>
              <w:szCs w:val="20"/>
              <w:lang w:val="de-DE" w:eastAsia="en-US"/>
            </w:rPr>
            <w:t>Alberta Education</w:t>
          </w:r>
          <w:r w:rsidRPr="00067284">
            <w:rPr>
              <w:rFonts w:ascii="Calibri" w:eastAsia="Calibri" w:hAnsi="Calibri"/>
              <w:sz w:val="20"/>
              <w:szCs w:val="20"/>
              <w:lang w:val="de-DE" w:eastAsia="en-US"/>
            </w:rPr>
            <w:t>. Erfasst am 12. Juli 2019 von https://education.alberta.ca/litt%C3%A9ratie-et-num%C3%A9ratie/aper%C3%A7u/everyone/litt%C3%A9ratie-et-num%C3%A9ratie/</w:t>
          </w:r>
        </w:p>
        <w:p w14:paraId="23A01BDF" w14:textId="77777777" w:rsidR="00067284" w:rsidRPr="00067284" w:rsidRDefault="00067284" w:rsidP="00067284">
          <w:pPr>
            <w:spacing w:after="160" w:line="259" w:lineRule="auto"/>
            <w:ind w:left="720" w:hanging="720"/>
            <w:rPr>
              <w:rFonts w:ascii="Calibri" w:eastAsia="Calibri" w:hAnsi="Calibri"/>
              <w:sz w:val="20"/>
              <w:szCs w:val="20"/>
              <w:lang w:val="de-DE" w:eastAsia="en-US"/>
            </w:rPr>
          </w:pPr>
          <w:r w:rsidRPr="00067284">
            <w:rPr>
              <w:rFonts w:ascii="Calibri" w:eastAsia="Calibri" w:hAnsi="Calibri"/>
              <w:sz w:val="20"/>
              <w:szCs w:val="20"/>
              <w:lang w:val="de-DE" w:eastAsia="en-US"/>
            </w:rPr>
            <w:t xml:space="preserve">ELIC. (2018). </w:t>
          </w:r>
          <w:r w:rsidRPr="00067284">
            <w:rPr>
              <w:rFonts w:ascii="Calibri" w:eastAsia="Calibri" w:hAnsi="Calibri"/>
              <w:i/>
              <w:iCs/>
              <w:sz w:val="20"/>
              <w:szCs w:val="20"/>
              <w:lang w:val="de-DE" w:eastAsia="en-US"/>
            </w:rPr>
            <w:t>ELIC</w:t>
          </w:r>
          <w:r w:rsidRPr="00067284">
            <w:rPr>
              <w:rFonts w:ascii="Calibri" w:eastAsia="Calibri" w:hAnsi="Calibri"/>
              <w:sz w:val="20"/>
              <w:szCs w:val="20"/>
              <w:lang w:val="de-DE" w:eastAsia="en-US"/>
            </w:rPr>
            <w:t>. Erfasst am 12. Juli 2019 von http://elic.fh-joanneum.at/info/</w:t>
          </w:r>
        </w:p>
        <w:p w14:paraId="505A0277" w14:textId="77777777" w:rsidR="00067284" w:rsidRPr="00067284" w:rsidRDefault="00067284" w:rsidP="00067284">
          <w:pPr>
            <w:spacing w:after="160" w:line="259" w:lineRule="auto"/>
            <w:ind w:left="720" w:hanging="720"/>
            <w:rPr>
              <w:rFonts w:ascii="Calibri" w:eastAsia="Calibri" w:hAnsi="Calibri"/>
              <w:sz w:val="20"/>
              <w:szCs w:val="20"/>
              <w:lang w:val="de-DE" w:eastAsia="en-US"/>
            </w:rPr>
          </w:pPr>
          <w:r w:rsidRPr="00067284">
            <w:rPr>
              <w:rFonts w:ascii="Calibri" w:eastAsia="Calibri" w:hAnsi="Calibri"/>
              <w:sz w:val="20"/>
              <w:szCs w:val="20"/>
              <w:lang w:val="en-US" w:eastAsia="en-US"/>
            </w:rPr>
            <w:t xml:space="preserve">Elliot, B. (2007). </w:t>
          </w:r>
          <w:r w:rsidRPr="00067284">
            <w:rPr>
              <w:rFonts w:ascii="Calibri" w:eastAsia="Calibri" w:hAnsi="Calibri"/>
              <w:i/>
              <w:iCs/>
              <w:sz w:val="20"/>
              <w:szCs w:val="20"/>
              <w:lang w:val="en-US" w:eastAsia="en-US"/>
            </w:rPr>
            <w:t>Assessment 2.0: Assessment in the age of Web 2.0.</w:t>
          </w:r>
          <w:r w:rsidRPr="00067284">
            <w:rPr>
              <w:rFonts w:ascii="Calibri" w:eastAsia="Calibri" w:hAnsi="Calibri"/>
              <w:sz w:val="20"/>
              <w:szCs w:val="20"/>
              <w:lang w:val="en-US" w:eastAsia="en-US"/>
            </w:rPr>
            <w:t xml:space="preserve"> </w:t>
          </w:r>
          <w:r w:rsidRPr="00067284">
            <w:rPr>
              <w:rFonts w:ascii="Calibri" w:eastAsia="Calibri" w:hAnsi="Calibri"/>
              <w:sz w:val="20"/>
              <w:szCs w:val="20"/>
              <w:lang w:val="de-DE" w:eastAsia="en-US"/>
            </w:rPr>
            <w:t>Erfasst am 01. 2017 von der schottischen Qualifikationsbehörde: http://wiki.cetis.ac.uk/images/d/de/Assessment_2_v2.pdf</w:t>
          </w:r>
        </w:p>
        <w:p w14:paraId="281D81DF" w14:textId="77777777" w:rsidR="00067284" w:rsidRPr="00067284" w:rsidRDefault="00067284" w:rsidP="00067284">
          <w:pPr>
            <w:spacing w:after="160" w:line="259" w:lineRule="auto"/>
            <w:ind w:left="720" w:hanging="720"/>
            <w:rPr>
              <w:rFonts w:ascii="Calibri" w:eastAsia="Calibri" w:hAnsi="Calibri"/>
              <w:sz w:val="20"/>
              <w:szCs w:val="20"/>
              <w:lang w:val="en-US" w:eastAsia="en-US"/>
            </w:rPr>
          </w:pPr>
          <w:r w:rsidRPr="00067284">
            <w:rPr>
              <w:rFonts w:ascii="Calibri" w:eastAsia="Calibri" w:hAnsi="Calibri"/>
              <w:sz w:val="20"/>
              <w:szCs w:val="20"/>
              <w:lang w:val="en-US" w:eastAsia="en-US"/>
            </w:rPr>
            <w:t xml:space="preserve">Kolb, D. (1984). </w:t>
          </w:r>
          <w:r w:rsidRPr="00067284">
            <w:rPr>
              <w:rFonts w:ascii="Calibri" w:eastAsia="Calibri" w:hAnsi="Calibri"/>
              <w:i/>
              <w:iCs/>
              <w:sz w:val="20"/>
              <w:szCs w:val="20"/>
              <w:lang w:val="en-US" w:eastAsia="en-US"/>
            </w:rPr>
            <w:t>Experiential Learning: Experience as the Source of Learning and Development.</w:t>
          </w:r>
          <w:r w:rsidRPr="00067284">
            <w:rPr>
              <w:rFonts w:ascii="Calibri" w:eastAsia="Calibri" w:hAnsi="Calibri"/>
              <w:sz w:val="20"/>
              <w:szCs w:val="20"/>
              <w:lang w:val="en-US" w:eastAsia="en-US"/>
            </w:rPr>
            <w:t xml:space="preserve"> Englewood Cliffs, N.J.: Prentice-Hall.</w:t>
          </w:r>
        </w:p>
        <w:p w14:paraId="0F0C1E68" w14:textId="77777777" w:rsidR="00067284" w:rsidRPr="00067284" w:rsidRDefault="00067284" w:rsidP="00067284">
          <w:pPr>
            <w:spacing w:after="160" w:line="259" w:lineRule="auto"/>
            <w:ind w:left="720" w:hanging="720"/>
            <w:rPr>
              <w:rFonts w:ascii="Calibri" w:eastAsia="Calibri" w:hAnsi="Calibri"/>
              <w:sz w:val="20"/>
              <w:szCs w:val="20"/>
              <w:lang w:val="en-US" w:eastAsia="en-US"/>
            </w:rPr>
          </w:pPr>
          <w:r w:rsidRPr="00067284">
            <w:rPr>
              <w:rFonts w:ascii="Calibri" w:eastAsia="Calibri" w:hAnsi="Calibri"/>
              <w:sz w:val="20"/>
              <w:szCs w:val="20"/>
              <w:lang w:val="en-US" w:eastAsia="en-US"/>
            </w:rPr>
            <w:t xml:space="preserve">Lankshear, C., &amp; Knobel, M. (2011). </w:t>
          </w:r>
          <w:r w:rsidRPr="00067284">
            <w:rPr>
              <w:rFonts w:ascii="Calibri" w:eastAsia="Calibri" w:hAnsi="Calibri"/>
              <w:i/>
              <w:iCs/>
              <w:sz w:val="20"/>
              <w:szCs w:val="20"/>
              <w:lang w:val="en-US" w:eastAsia="en-US"/>
            </w:rPr>
            <w:t>New Literacies: Everyday Practices and Classroom Learning</w:t>
          </w:r>
          <w:r w:rsidRPr="00067284">
            <w:rPr>
              <w:rFonts w:ascii="Calibri" w:eastAsia="Calibri" w:hAnsi="Calibri"/>
              <w:sz w:val="20"/>
              <w:szCs w:val="20"/>
              <w:lang w:val="en-US" w:eastAsia="en-US"/>
            </w:rPr>
            <w:t xml:space="preserve"> (2. ed.). Berkshire: McGraw-Hill/Open University.</w:t>
          </w:r>
        </w:p>
        <w:p w14:paraId="5EF73FD1" w14:textId="77777777" w:rsidR="00067284" w:rsidRPr="00067284" w:rsidRDefault="00067284" w:rsidP="00067284">
          <w:pPr>
            <w:spacing w:after="160" w:line="259" w:lineRule="auto"/>
            <w:ind w:left="720" w:hanging="720"/>
            <w:rPr>
              <w:rFonts w:ascii="Calibri" w:eastAsia="Calibri" w:hAnsi="Calibri"/>
              <w:sz w:val="20"/>
              <w:szCs w:val="20"/>
              <w:lang w:val="en-US" w:eastAsia="en-US"/>
            </w:rPr>
          </w:pPr>
          <w:r w:rsidRPr="00067284">
            <w:rPr>
              <w:rFonts w:ascii="Calibri" w:eastAsia="Calibri" w:hAnsi="Calibri"/>
              <w:sz w:val="20"/>
              <w:szCs w:val="20"/>
              <w:lang w:val="en-US" w:eastAsia="en-US"/>
            </w:rPr>
            <w:t xml:space="preserve">Prensky, M. (2001). Digital Natives, Digital Immigrants. </w:t>
          </w:r>
          <w:r w:rsidRPr="00067284">
            <w:rPr>
              <w:rFonts w:ascii="Calibri" w:eastAsia="Calibri" w:hAnsi="Calibri"/>
              <w:i/>
              <w:iCs/>
              <w:sz w:val="20"/>
              <w:szCs w:val="20"/>
              <w:lang w:val="en-US" w:eastAsia="en-US"/>
            </w:rPr>
            <w:t>On The Horizon, 9</w:t>
          </w:r>
          <w:r w:rsidRPr="00067284">
            <w:rPr>
              <w:rFonts w:ascii="Calibri" w:eastAsia="Calibri" w:hAnsi="Calibri"/>
              <w:sz w:val="20"/>
              <w:szCs w:val="20"/>
              <w:lang w:val="en-US" w:eastAsia="en-US"/>
            </w:rPr>
            <w:t>(5), 1-6.</w:t>
          </w:r>
        </w:p>
        <w:p w14:paraId="4E580C11" w14:textId="77777777" w:rsidR="00067284" w:rsidRPr="00067284" w:rsidRDefault="00067284" w:rsidP="00067284">
          <w:pPr>
            <w:spacing w:after="160" w:line="259" w:lineRule="auto"/>
            <w:ind w:left="720" w:hanging="720"/>
            <w:rPr>
              <w:rFonts w:ascii="Calibri" w:eastAsia="Calibri" w:hAnsi="Calibri"/>
              <w:sz w:val="20"/>
              <w:szCs w:val="20"/>
              <w:lang w:val="de-DE" w:eastAsia="en-US"/>
            </w:rPr>
          </w:pPr>
          <w:r w:rsidRPr="00067284">
            <w:rPr>
              <w:rFonts w:ascii="Calibri" w:eastAsia="Calibri" w:hAnsi="Calibri"/>
              <w:sz w:val="20"/>
              <w:szCs w:val="20"/>
              <w:lang w:val="en-US" w:eastAsia="en-US"/>
            </w:rPr>
            <w:t xml:space="preserve">TALIS. (2013). </w:t>
          </w:r>
          <w:r w:rsidRPr="00067284">
            <w:rPr>
              <w:rFonts w:ascii="Calibri" w:eastAsia="Calibri" w:hAnsi="Calibri"/>
              <w:i/>
              <w:iCs/>
              <w:sz w:val="20"/>
              <w:szCs w:val="20"/>
              <w:lang w:val="en-US" w:eastAsia="en-US"/>
            </w:rPr>
            <w:t>The OECD Teaching and Learning International Survey (TALIS) - 2013 Results.</w:t>
          </w:r>
          <w:r w:rsidRPr="00067284">
            <w:rPr>
              <w:rFonts w:ascii="Calibri" w:eastAsia="Calibri" w:hAnsi="Calibri"/>
              <w:sz w:val="20"/>
              <w:szCs w:val="20"/>
              <w:lang w:val="en-US" w:eastAsia="en-US"/>
            </w:rPr>
            <w:t xml:space="preserve"> </w:t>
          </w:r>
          <w:r w:rsidRPr="00067284">
            <w:rPr>
              <w:rFonts w:ascii="Calibri" w:eastAsia="Calibri" w:hAnsi="Calibri"/>
              <w:sz w:val="20"/>
              <w:szCs w:val="20"/>
              <w:lang w:val="de-DE" w:eastAsia="en-US"/>
            </w:rPr>
            <w:t>Paris: Organisation für wirtschaftliche Zusammenarbeit und Entwicklung.</w:t>
          </w:r>
        </w:p>
        <w:p w14:paraId="22D3CB88" w14:textId="77777777" w:rsidR="00067284" w:rsidRPr="00067284" w:rsidRDefault="00067284" w:rsidP="00067284">
          <w:pPr>
            <w:spacing w:after="160" w:line="259" w:lineRule="auto"/>
            <w:ind w:left="720" w:hanging="720"/>
            <w:rPr>
              <w:rFonts w:ascii="Calibri" w:eastAsia="Calibri" w:hAnsi="Calibri"/>
              <w:sz w:val="20"/>
              <w:szCs w:val="20"/>
              <w:lang w:val="de-DE" w:eastAsia="en-US"/>
            </w:rPr>
          </w:pPr>
          <w:r w:rsidRPr="00067284">
            <w:rPr>
              <w:rFonts w:ascii="Calibri" w:eastAsia="Calibri" w:hAnsi="Calibri"/>
              <w:sz w:val="20"/>
              <w:szCs w:val="20"/>
              <w:lang w:val="de-DE" w:eastAsia="en-US"/>
            </w:rPr>
            <w:t xml:space="preserve">UNESCO. (2006). </w:t>
          </w:r>
          <w:r w:rsidRPr="00067284">
            <w:rPr>
              <w:rFonts w:ascii="Calibri" w:eastAsia="Calibri" w:hAnsi="Calibri"/>
              <w:i/>
              <w:iCs/>
              <w:sz w:val="20"/>
              <w:szCs w:val="20"/>
              <w:lang w:val="de-DE" w:eastAsia="en-US"/>
            </w:rPr>
            <w:t>Education for all: literacy for life.</w:t>
          </w:r>
          <w:r w:rsidRPr="00067284">
            <w:rPr>
              <w:rFonts w:ascii="Calibri" w:eastAsia="Calibri" w:hAnsi="Calibri"/>
              <w:sz w:val="20"/>
              <w:szCs w:val="20"/>
              <w:lang w:val="de-DE" w:eastAsia="en-US"/>
            </w:rPr>
            <w:t xml:space="preserve"> Paris: Organisation der Vereinten Nationen für Bildung, Wissenschaft und Kultur.</w:t>
          </w:r>
        </w:p>
        <w:p w14:paraId="3233F4B4" w14:textId="77777777" w:rsidR="00067284" w:rsidRPr="00067284" w:rsidRDefault="00067284" w:rsidP="00067284">
          <w:pPr>
            <w:spacing w:after="160" w:line="259" w:lineRule="auto"/>
            <w:rPr>
              <w:rFonts w:ascii="Calibri" w:eastAsia="Calibri" w:hAnsi="Calibri"/>
              <w:sz w:val="22"/>
              <w:szCs w:val="22"/>
              <w:lang w:val="en-GB" w:eastAsia="en-US"/>
            </w:rPr>
          </w:pPr>
          <w:r w:rsidRPr="00067284">
            <w:rPr>
              <w:rFonts w:ascii="Calibri" w:eastAsia="Calibri" w:hAnsi="Calibri"/>
              <w:b/>
              <w:bCs/>
              <w:sz w:val="20"/>
              <w:szCs w:val="20"/>
              <w:lang w:val="de-DE" w:eastAsia="en-US"/>
            </w:rPr>
            <w:fldChar w:fldCharType="end"/>
          </w:r>
        </w:p>
      </w:sdtContent>
    </w:sdt>
    <w:p w14:paraId="7A0F8B17" w14:textId="77777777" w:rsidR="00067284" w:rsidRPr="00067284" w:rsidRDefault="00067284" w:rsidP="00A21454">
      <w:pPr>
        <w:jc w:val="both"/>
        <w:rPr>
          <w:rFonts w:asciiTheme="minorHAnsi" w:hAnsiTheme="minorHAnsi" w:cstheme="minorHAnsi"/>
          <w:lang w:val="de-DE" w:eastAsia="en-US"/>
        </w:rPr>
      </w:pPr>
      <w:bookmarkStart w:id="0" w:name="_GoBack"/>
      <w:bookmarkEnd w:id="0"/>
    </w:p>
    <w:sectPr w:rsidR="00067284" w:rsidRPr="00067284" w:rsidSect="0092748C">
      <w:headerReference w:type="default" r:id="rId8"/>
      <w:footerReference w:type="default" r:id="rId9"/>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6"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4"/>
  </w:num>
  <w:num w:numId="4">
    <w:abstractNumId w:val="21"/>
  </w:num>
  <w:num w:numId="5">
    <w:abstractNumId w:val="1"/>
  </w:num>
  <w:num w:numId="6">
    <w:abstractNumId w:val="3"/>
  </w:num>
  <w:num w:numId="7">
    <w:abstractNumId w:val="18"/>
  </w:num>
  <w:num w:numId="8">
    <w:abstractNumId w:val="12"/>
  </w:num>
  <w:num w:numId="9">
    <w:abstractNumId w:val="9"/>
  </w:num>
  <w:num w:numId="10">
    <w:abstractNumId w:val="35"/>
  </w:num>
  <w:num w:numId="11">
    <w:abstractNumId w:val="22"/>
  </w:num>
  <w:num w:numId="12">
    <w:abstractNumId w:val="15"/>
  </w:num>
  <w:num w:numId="13">
    <w:abstractNumId w:val="23"/>
  </w:num>
  <w:num w:numId="14">
    <w:abstractNumId w:val="33"/>
  </w:num>
  <w:num w:numId="15">
    <w:abstractNumId w:val="16"/>
  </w:num>
  <w:num w:numId="16">
    <w:abstractNumId w:val="17"/>
  </w:num>
  <w:num w:numId="17">
    <w:abstractNumId w:val="31"/>
  </w:num>
  <w:num w:numId="18">
    <w:abstractNumId w:val="14"/>
  </w:num>
  <w:num w:numId="19">
    <w:abstractNumId w:val="32"/>
  </w:num>
  <w:num w:numId="20">
    <w:abstractNumId w:val="29"/>
  </w:num>
  <w:num w:numId="21">
    <w:abstractNumId w:val="6"/>
  </w:num>
  <w:num w:numId="22">
    <w:abstractNumId w:val="19"/>
  </w:num>
  <w:num w:numId="23">
    <w:abstractNumId w:val="26"/>
  </w:num>
  <w:num w:numId="24">
    <w:abstractNumId w:val="13"/>
  </w:num>
  <w:num w:numId="25">
    <w:abstractNumId w:val="30"/>
  </w:num>
  <w:num w:numId="26">
    <w:abstractNumId w:val="27"/>
  </w:num>
  <w:num w:numId="27">
    <w:abstractNumId w:val="4"/>
  </w:num>
  <w:num w:numId="28">
    <w:abstractNumId w:val="7"/>
  </w:num>
  <w:num w:numId="29">
    <w:abstractNumId w:val="5"/>
  </w:num>
  <w:num w:numId="30">
    <w:abstractNumId w:val="8"/>
  </w:num>
  <w:num w:numId="31">
    <w:abstractNumId w:val="24"/>
  </w:num>
  <w:num w:numId="32">
    <w:abstractNumId w:val="11"/>
  </w:num>
  <w:num w:numId="33">
    <w:abstractNumId w:val="20"/>
  </w:num>
  <w:num w:numId="34">
    <w:abstractNumId w:val="2"/>
  </w:num>
  <w:num w:numId="35">
    <w:abstractNumId w:val="25"/>
  </w:num>
  <w:num w:numId="36">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67284"/>
    <w:rsid w:val="00074639"/>
    <w:rsid w:val="000754AD"/>
    <w:rsid w:val="00077274"/>
    <w:rsid w:val="000817CC"/>
    <w:rsid w:val="00083D60"/>
    <w:rsid w:val="00086D2B"/>
    <w:rsid w:val="000915A8"/>
    <w:rsid w:val="000924DA"/>
    <w:rsid w:val="00092F56"/>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87063"/>
    <w:rsid w:val="002B37B2"/>
    <w:rsid w:val="002B4DF6"/>
    <w:rsid w:val="002D0764"/>
    <w:rsid w:val="002E06F2"/>
    <w:rsid w:val="0030142D"/>
    <w:rsid w:val="0032148D"/>
    <w:rsid w:val="003220BB"/>
    <w:rsid w:val="003234ED"/>
    <w:rsid w:val="003314AB"/>
    <w:rsid w:val="00333254"/>
    <w:rsid w:val="00352AC8"/>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66DA"/>
    <w:rsid w:val="0081032C"/>
    <w:rsid w:val="00812CED"/>
    <w:rsid w:val="00813712"/>
    <w:rsid w:val="00815B00"/>
    <w:rsid w:val="0082641A"/>
    <w:rsid w:val="00827F05"/>
    <w:rsid w:val="00830F9E"/>
    <w:rsid w:val="00833248"/>
    <w:rsid w:val="00841164"/>
    <w:rsid w:val="00847C4F"/>
    <w:rsid w:val="0085513D"/>
    <w:rsid w:val="00857760"/>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C8017CFA-612E-4234-AC71-E0B3091F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5133</Characters>
  <Application>Microsoft Office Word</Application>
  <DocSecurity>0</DocSecurity>
  <Lines>42</Lines>
  <Paragraphs>12</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2</cp:revision>
  <cp:lastPrinted>2018-09-17T06:58:00Z</cp:lastPrinted>
  <dcterms:created xsi:type="dcterms:W3CDTF">2019-09-30T10:40:00Z</dcterms:created>
  <dcterms:modified xsi:type="dcterms:W3CDTF">2019-09-30T10:40:00Z</dcterms:modified>
</cp:coreProperties>
</file>