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68B9FD6" w:rsidR="0048228F" w:rsidRPr="003616B0" w:rsidRDefault="00AA7067" w:rsidP="00A21454">
      <w:pPr>
        <w:shd w:val="clear" w:color="auto" w:fill="92CDDC" w:themeFill="accent5" w:themeFillTint="99"/>
        <w:jc w:val="both"/>
        <w:rPr>
          <w:rFonts w:asciiTheme="minorHAnsi" w:hAnsiTheme="minorHAnsi" w:cstheme="minorHAnsi"/>
          <w:b/>
          <w:smallCaps/>
          <w:sz w:val="40"/>
          <w:szCs w:val="22"/>
          <w:lang w:val="de-DE"/>
        </w:rPr>
      </w:pPr>
      <w:proofErr w:type="spellStart"/>
      <w:r w:rsidRPr="00AA7067">
        <w:rPr>
          <w:rFonts w:asciiTheme="minorHAnsi" w:hAnsiTheme="minorHAnsi" w:cstheme="minorHAnsi"/>
          <w:b/>
          <w:smallCaps/>
          <w:sz w:val="40"/>
          <w:szCs w:val="22"/>
          <w:lang w:val="de-DE"/>
        </w:rPr>
        <w:t>Shrnutí</w:t>
      </w:r>
      <w:proofErr w:type="spellEnd"/>
    </w:p>
    <w:p w14:paraId="23631686" w14:textId="77777777" w:rsidR="003A7308" w:rsidRPr="003616B0" w:rsidRDefault="003A7308" w:rsidP="00A21454">
      <w:pPr>
        <w:jc w:val="both"/>
        <w:rPr>
          <w:rFonts w:asciiTheme="minorHAnsi" w:hAnsiTheme="minorHAnsi" w:cstheme="minorHAnsi"/>
          <w:szCs w:val="22"/>
          <w:lang w:val="de-DE" w:eastAsia="en-US"/>
        </w:rPr>
      </w:pPr>
    </w:p>
    <w:p w14:paraId="5120E8C0" w14:textId="47BB00A0" w:rsidR="00094C8B" w:rsidRPr="003616B0" w:rsidRDefault="00AA7067" w:rsidP="00A21454">
      <w:pPr>
        <w:jc w:val="both"/>
        <w:rPr>
          <w:rFonts w:asciiTheme="minorHAnsi" w:hAnsiTheme="minorHAnsi" w:cstheme="minorHAnsi"/>
          <w:lang w:val="de-DE" w:eastAsia="en-US"/>
        </w:rPr>
      </w:pPr>
      <w:proofErr w:type="spellStart"/>
      <w:r w:rsidRPr="00AA7067">
        <w:rPr>
          <w:rFonts w:asciiTheme="minorHAnsi" w:hAnsiTheme="minorHAnsi" w:cstheme="minorHAnsi"/>
          <w:b/>
          <w:sz w:val="28"/>
          <w:szCs w:val="22"/>
          <w:lang w:val="de-DE" w:eastAsia="en-US"/>
        </w:rPr>
        <w:t>Vymezení</w:t>
      </w:r>
      <w:proofErr w:type="spellEnd"/>
      <w:r w:rsidRPr="00AA7067">
        <w:rPr>
          <w:rFonts w:asciiTheme="minorHAnsi" w:hAnsiTheme="minorHAnsi" w:cstheme="minorHAnsi"/>
          <w:b/>
          <w:sz w:val="28"/>
          <w:szCs w:val="22"/>
          <w:lang w:val="de-DE" w:eastAsia="en-US"/>
        </w:rPr>
        <w:t xml:space="preserve"> </w:t>
      </w:r>
      <w:proofErr w:type="spellStart"/>
      <w:r w:rsidRPr="00AA7067">
        <w:rPr>
          <w:rFonts w:asciiTheme="minorHAnsi" w:hAnsiTheme="minorHAnsi" w:cstheme="minorHAnsi"/>
          <w:b/>
          <w:sz w:val="28"/>
          <w:szCs w:val="22"/>
          <w:lang w:val="de-DE" w:eastAsia="en-US"/>
        </w:rPr>
        <w:t>gramotnosti</w:t>
      </w:r>
      <w:proofErr w:type="spellEnd"/>
      <w:r w:rsidRPr="00AA7067">
        <w:rPr>
          <w:rFonts w:asciiTheme="minorHAnsi" w:hAnsiTheme="minorHAnsi" w:cstheme="minorHAnsi"/>
          <w:b/>
          <w:sz w:val="28"/>
          <w:szCs w:val="22"/>
          <w:lang w:val="de-DE" w:eastAsia="en-US"/>
        </w:rPr>
        <w:t xml:space="preserve"> v </w:t>
      </w:r>
      <w:proofErr w:type="spellStart"/>
      <w:r w:rsidRPr="00AA7067">
        <w:rPr>
          <w:rFonts w:asciiTheme="minorHAnsi" w:hAnsiTheme="minorHAnsi" w:cstheme="minorHAnsi"/>
          <w:b/>
          <w:sz w:val="28"/>
          <w:szCs w:val="22"/>
          <w:lang w:val="de-DE" w:eastAsia="en-US"/>
        </w:rPr>
        <w:t>inženýrství</w:t>
      </w:r>
      <w:proofErr w:type="spellEnd"/>
    </w:p>
    <w:p w14:paraId="59726968" w14:textId="50A32D42" w:rsidR="00C77397" w:rsidRDefault="00C77397" w:rsidP="00B96F5A">
      <w:pPr>
        <w:tabs>
          <w:tab w:val="left" w:pos="6086"/>
        </w:tabs>
        <w:jc w:val="both"/>
        <w:rPr>
          <w:rFonts w:asciiTheme="minorHAnsi" w:hAnsiTheme="minorHAnsi" w:cstheme="minorHAnsi"/>
          <w:sz w:val="22"/>
          <w:szCs w:val="22"/>
          <w:lang w:val="de-DE" w:eastAsia="en-US"/>
        </w:rPr>
      </w:pPr>
    </w:p>
    <w:p w14:paraId="0624767B" w14:textId="77777777" w:rsidR="00AA7067" w:rsidRPr="00AA7067" w:rsidRDefault="00AA7067" w:rsidP="00AA7067">
      <w:pPr>
        <w:spacing w:after="160" w:line="259" w:lineRule="auto"/>
        <w:rPr>
          <w:rFonts w:ascii="Calibri" w:eastAsia="Calibri" w:hAnsi="Calibri"/>
          <w:sz w:val="22"/>
          <w:szCs w:val="22"/>
          <w:lang w:eastAsia="en-US"/>
        </w:rPr>
      </w:pPr>
      <w:r w:rsidRPr="00AA7067">
        <w:rPr>
          <w:rFonts w:ascii="Calibri" w:eastAsia="Calibri" w:hAnsi="Calibri"/>
          <w:sz w:val="22"/>
          <w:szCs w:val="22"/>
          <w:lang w:eastAsia="en-US"/>
        </w:rPr>
        <w:t xml:space="preserve">Uvedeným cílem projektu ELIC je „zlepšit technickou gramotnost mezi žáky středních škol“ </w:t>
      </w:r>
      <w:sdt>
        <w:sdtPr>
          <w:rPr>
            <w:rFonts w:ascii="Calibri" w:eastAsia="Calibri" w:hAnsi="Calibri"/>
            <w:sz w:val="22"/>
            <w:szCs w:val="22"/>
            <w:lang w:eastAsia="en-US"/>
          </w:rPr>
          <w:id w:val="-204641970"/>
          <w:citation/>
        </w:sdtPr>
        <w:sdtContent>
          <w:r w:rsidRPr="00AA7067">
            <w:rPr>
              <w:rFonts w:ascii="Calibri" w:eastAsia="Calibri" w:hAnsi="Calibri"/>
              <w:sz w:val="22"/>
              <w:szCs w:val="22"/>
              <w:lang w:eastAsia="en-US"/>
            </w:rPr>
            <w:fldChar w:fldCharType="begin"/>
          </w:r>
          <w:r w:rsidRPr="00AA7067">
            <w:rPr>
              <w:rFonts w:ascii="Calibri" w:eastAsia="Calibri" w:hAnsi="Calibri"/>
              <w:sz w:val="22"/>
              <w:szCs w:val="22"/>
              <w:lang w:eastAsia="en-US"/>
            </w:rPr>
            <w:instrText xml:space="preserve"> CITATION ELI18 \l 2057 </w:instrText>
          </w:r>
          <w:r w:rsidRPr="00AA7067">
            <w:rPr>
              <w:rFonts w:ascii="Calibri" w:eastAsia="Calibri" w:hAnsi="Calibri"/>
              <w:sz w:val="22"/>
              <w:szCs w:val="22"/>
              <w:lang w:eastAsia="en-US"/>
            </w:rPr>
            <w:fldChar w:fldCharType="separate"/>
          </w:r>
          <w:r w:rsidRPr="00AA7067">
            <w:rPr>
              <w:rFonts w:ascii="Calibri" w:eastAsia="Calibri" w:hAnsi="Calibri"/>
              <w:noProof/>
              <w:sz w:val="22"/>
              <w:szCs w:val="22"/>
              <w:lang w:eastAsia="en-US"/>
            </w:rPr>
            <w:t>(ELIC, 2018)</w:t>
          </w:r>
          <w:r w:rsidRPr="00AA7067">
            <w:rPr>
              <w:rFonts w:ascii="Calibri" w:eastAsia="Calibri" w:hAnsi="Calibri"/>
              <w:sz w:val="22"/>
              <w:szCs w:val="22"/>
              <w:lang w:eastAsia="en-US"/>
            </w:rPr>
            <w:fldChar w:fldCharType="end"/>
          </w:r>
        </w:sdtContent>
      </w:sdt>
      <w:r w:rsidRPr="00AA7067">
        <w:rPr>
          <w:rFonts w:ascii="Calibri" w:eastAsia="Calibri" w:hAnsi="Calibri"/>
          <w:sz w:val="22"/>
          <w:szCs w:val="22"/>
          <w:lang w:eastAsia="en-US"/>
        </w:rPr>
        <w:t xml:space="preserve"> poskytováním materiálů pro středoškolské učitele přírodních věd, kterými by žáky přirozeně motivovali k užšímu zapojení se do inženýrských oblastí. Než však bylo možné tento cíl realizovat a kvůli četným alternativním definicím pojmu gramotnost, bylo nutné zajistit společné porozumění gramotnosti všem stranám zapojeným do ELIC. Tento dokument shrnuje toto společné chápání a nastiňuje teoretickou podstatu definice gramotnosti v kontextu ELIC.</w:t>
      </w:r>
    </w:p>
    <w:p w14:paraId="3FE1EDBA" w14:textId="77777777" w:rsidR="00AA7067" w:rsidRPr="00AA7067" w:rsidRDefault="00AA7067" w:rsidP="00AA7067">
      <w:pPr>
        <w:spacing w:after="160" w:line="259" w:lineRule="auto"/>
        <w:rPr>
          <w:rFonts w:ascii="Calibri" w:eastAsia="Calibri" w:hAnsi="Calibri"/>
          <w:sz w:val="22"/>
          <w:szCs w:val="22"/>
          <w:lang w:eastAsia="en-US"/>
        </w:rPr>
      </w:pPr>
      <w:r w:rsidRPr="00AA7067">
        <w:rPr>
          <w:rFonts w:ascii="Calibri" w:eastAsia="Calibri" w:hAnsi="Calibri"/>
          <w:sz w:val="22"/>
          <w:szCs w:val="22"/>
          <w:lang w:eastAsia="en-US"/>
        </w:rPr>
        <w:t>První otázka, na kterou je třeba odpovědět, je – co znamená gramotnost? Krátké prozkoumání toho, jak se tento termín používá napříč oborovými předměty a také napříč jazyky, nám jasně ukazuje, že tím není vždy míněno totéž. Například zatímco anglické slovo pro člověka, který neumí číst - negramotný (</w:t>
      </w:r>
      <w:r w:rsidRPr="00AA7067">
        <w:rPr>
          <w:rFonts w:ascii="Calibri" w:eastAsia="Calibri" w:hAnsi="Calibri"/>
          <w:i/>
          <w:sz w:val="22"/>
          <w:szCs w:val="22"/>
          <w:lang w:eastAsia="en-US"/>
        </w:rPr>
        <w:t>illiterate</w:t>
      </w:r>
      <w:r w:rsidRPr="00AA7067">
        <w:rPr>
          <w:rFonts w:ascii="Calibri" w:eastAsia="Calibri" w:hAnsi="Calibri"/>
          <w:sz w:val="22"/>
          <w:szCs w:val="22"/>
          <w:lang w:eastAsia="en-US"/>
        </w:rPr>
        <w:t>) -, může být jasně spojeno s gramotností (</w:t>
      </w:r>
      <w:r w:rsidRPr="00AA7067">
        <w:rPr>
          <w:rFonts w:ascii="Calibri" w:eastAsia="Calibri" w:hAnsi="Calibri"/>
          <w:i/>
          <w:sz w:val="22"/>
          <w:szCs w:val="22"/>
          <w:lang w:eastAsia="en-US"/>
        </w:rPr>
        <w:t>literacy</w:t>
      </w:r>
      <w:r w:rsidRPr="00AA7067">
        <w:rPr>
          <w:rFonts w:ascii="Calibri" w:eastAsia="Calibri" w:hAnsi="Calibri"/>
          <w:sz w:val="22"/>
          <w:szCs w:val="22"/>
          <w:lang w:eastAsia="en-US"/>
        </w:rPr>
        <w:t xml:space="preserve">), francouzský ekvivalent - </w:t>
      </w:r>
      <w:r w:rsidRPr="00AA7067">
        <w:rPr>
          <w:rFonts w:ascii="Calibri" w:eastAsia="Calibri" w:hAnsi="Calibri"/>
          <w:i/>
          <w:sz w:val="22"/>
          <w:szCs w:val="22"/>
          <w:lang w:eastAsia="en-US"/>
        </w:rPr>
        <w:t>analphabétisme</w:t>
      </w:r>
      <w:r w:rsidRPr="00AA7067">
        <w:rPr>
          <w:rFonts w:ascii="Calibri" w:eastAsia="Calibri" w:hAnsi="Calibri"/>
          <w:sz w:val="22"/>
          <w:szCs w:val="22"/>
          <w:lang w:eastAsia="en-US"/>
        </w:rPr>
        <w:t xml:space="preserve"> - nemá žádnou takovou morfologickou podobnost </w:t>
      </w:r>
      <w:sdt>
        <w:sdtPr>
          <w:rPr>
            <w:rFonts w:ascii="Calibri" w:eastAsia="Calibri" w:hAnsi="Calibri"/>
            <w:sz w:val="22"/>
            <w:szCs w:val="22"/>
            <w:lang w:eastAsia="en-US"/>
          </w:rPr>
          <w:id w:val="-1878915857"/>
          <w:citation/>
        </w:sdtPr>
        <w:sdtContent>
          <w:r w:rsidRPr="00AA7067">
            <w:rPr>
              <w:rFonts w:ascii="Calibri" w:eastAsia="Calibri" w:hAnsi="Calibri"/>
              <w:sz w:val="22"/>
              <w:szCs w:val="22"/>
              <w:lang w:eastAsia="en-US"/>
            </w:rPr>
            <w:fldChar w:fldCharType="begin"/>
          </w:r>
          <w:r w:rsidRPr="00AA7067">
            <w:rPr>
              <w:rFonts w:ascii="Calibri" w:eastAsia="Calibri" w:hAnsi="Calibri"/>
              <w:sz w:val="22"/>
              <w:szCs w:val="22"/>
              <w:lang w:eastAsia="en-US"/>
            </w:rPr>
            <w:instrText xml:space="preserve"> CITATION UNE06 \l 2057 </w:instrText>
          </w:r>
          <w:r w:rsidRPr="00AA7067">
            <w:rPr>
              <w:rFonts w:ascii="Calibri" w:eastAsia="Calibri" w:hAnsi="Calibri"/>
              <w:sz w:val="22"/>
              <w:szCs w:val="22"/>
              <w:lang w:eastAsia="en-US"/>
            </w:rPr>
            <w:fldChar w:fldCharType="separate"/>
          </w:r>
          <w:r w:rsidRPr="00AA7067">
            <w:rPr>
              <w:rFonts w:ascii="Calibri" w:eastAsia="Calibri" w:hAnsi="Calibri"/>
              <w:noProof/>
              <w:sz w:val="22"/>
              <w:szCs w:val="22"/>
              <w:lang w:eastAsia="en-US"/>
            </w:rPr>
            <w:t>(UNESCO, 2006)</w:t>
          </w:r>
          <w:r w:rsidRPr="00AA7067">
            <w:rPr>
              <w:rFonts w:ascii="Calibri" w:eastAsia="Calibri" w:hAnsi="Calibri"/>
              <w:sz w:val="22"/>
              <w:szCs w:val="22"/>
              <w:lang w:eastAsia="en-US"/>
            </w:rPr>
            <w:fldChar w:fldCharType="end"/>
          </w:r>
        </w:sdtContent>
      </w:sdt>
      <w:r w:rsidRPr="00AA7067">
        <w:rPr>
          <w:rFonts w:ascii="Calibri" w:eastAsia="Calibri" w:hAnsi="Calibri"/>
          <w:sz w:val="22"/>
          <w:szCs w:val="22"/>
          <w:lang w:eastAsia="en-US"/>
        </w:rPr>
        <w:t xml:space="preserve">. Další francouzský termín </w:t>
      </w:r>
      <w:r w:rsidRPr="00AA7067">
        <w:rPr>
          <w:rFonts w:ascii="Calibri" w:eastAsia="Calibri" w:hAnsi="Calibri"/>
          <w:i/>
          <w:sz w:val="22"/>
          <w:szCs w:val="22"/>
          <w:lang w:eastAsia="en-US"/>
        </w:rPr>
        <w:t>la littératie</w:t>
      </w:r>
      <w:r w:rsidRPr="00AA7067">
        <w:rPr>
          <w:rFonts w:ascii="Calibri" w:eastAsia="Calibri" w:hAnsi="Calibri"/>
          <w:sz w:val="22"/>
          <w:szCs w:val="22"/>
          <w:lang w:eastAsia="en-US"/>
        </w:rPr>
        <w:t xml:space="preserve">, i když je jasně morfologicky příbuzný, obnáší zcela jinou myšlenku, například je definován jako „probíhající a aktivní procesy, které začínají při narození a vyvíjejí se po celý život“ </w:t>
      </w:r>
      <w:sdt>
        <w:sdtPr>
          <w:rPr>
            <w:rFonts w:ascii="Calibri" w:eastAsia="Calibri" w:hAnsi="Calibri"/>
            <w:iCs/>
            <w:sz w:val="22"/>
            <w:szCs w:val="22"/>
            <w:lang w:eastAsia="en-US"/>
          </w:rPr>
          <w:id w:val="-374925619"/>
          <w:citation/>
        </w:sdtPr>
        <w:sdtContent>
          <w:r w:rsidRPr="00AA7067">
            <w:rPr>
              <w:rFonts w:ascii="Calibri" w:eastAsia="Calibri" w:hAnsi="Calibri"/>
              <w:iCs/>
              <w:sz w:val="22"/>
              <w:szCs w:val="22"/>
              <w:lang w:eastAsia="en-US"/>
            </w:rPr>
            <w:fldChar w:fldCharType="begin"/>
          </w:r>
          <w:r w:rsidRPr="00AA7067">
            <w:rPr>
              <w:rFonts w:ascii="Calibri" w:eastAsia="Calibri" w:hAnsi="Calibri"/>
              <w:iCs/>
              <w:sz w:val="22"/>
              <w:szCs w:val="22"/>
              <w:lang w:eastAsia="en-US"/>
            </w:rPr>
            <w:instrText xml:space="preserve"> CITATION nn19 \l 2057 </w:instrText>
          </w:r>
          <w:r w:rsidRPr="00AA7067">
            <w:rPr>
              <w:rFonts w:ascii="Calibri" w:eastAsia="Calibri" w:hAnsi="Calibri"/>
              <w:iCs/>
              <w:sz w:val="22"/>
              <w:szCs w:val="22"/>
              <w:lang w:eastAsia="en-US"/>
            </w:rPr>
            <w:fldChar w:fldCharType="separate"/>
          </w:r>
          <w:r w:rsidRPr="00AA7067">
            <w:rPr>
              <w:rFonts w:ascii="Calibri" w:eastAsia="Calibri" w:hAnsi="Calibri"/>
              <w:noProof/>
              <w:sz w:val="22"/>
              <w:szCs w:val="22"/>
              <w:lang w:eastAsia="en-US"/>
            </w:rPr>
            <w:t>(Alberta Education, 2019)</w:t>
          </w:r>
          <w:r w:rsidRPr="00AA7067">
            <w:rPr>
              <w:rFonts w:ascii="Calibri" w:eastAsia="Calibri" w:hAnsi="Calibri"/>
              <w:iCs/>
              <w:sz w:val="22"/>
              <w:szCs w:val="22"/>
              <w:lang w:eastAsia="en-US"/>
            </w:rPr>
            <w:fldChar w:fldCharType="end"/>
          </w:r>
        </w:sdtContent>
      </w:sdt>
      <w:r w:rsidRPr="00AA7067">
        <w:rPr>
          <w:rFonts w:ascii="Calibri" w:eastAsia="Calibri" w:hAnsi="Calibri"/>
          <w:sz w:val="22"/>
          <w:szCs w:val="22"/>
          <w:lang w:eastAsia="en-US"/>
        </w:rPr>
        <w:t xml:space="preserve"> nebo dovednosti aplikované na okolí a pracoviště. Byly identifikovány čtyři různé typy gramotnosti </w:t>
      </w:r>
      <w:sdt>
        <w:sdtPr>
          <w:rPr>
            <w:rFonts w:ascii="Calibri" w:eastAsia="Calibri" w:hAnsi="Calibri"/>
            <w:iCs/>
            <w:sz w:val="22"/>
            <w:szCs w:val="22"/>
            <w:lang w:eastAsia="en-US"/>
          </w:rPr>
          <w:id w:val="1306048177"/>
          <w:citation/>
        </w:sdtPr>
        <w:sdtContent>
          <w:r w:rsidRPr="00AA7067">
            <w:rPr>
              <w:rFonts w:ascii="Calibri" w:eastAsia="Calibri" w:hAnsi="Calibri"/>
              <w:iCs/>
              <w:sz w:val="22"/>
              <w:szCs w:val="22"/>
              <w:lang w:eastAsia="en-US"/>
            </w:rPr>
            <w:fldChar w:fldCharType="begin"/>
          </w:r>
          <w:r w:rsidRPr="00AA7067">
            <w:rPr>
              <w:rFonts w:ascii="Calibri" w:eastAsia="Calibri" w:hAnsi="Calibri"/>
              <w:iCs/>
              <w:sz w:val="22"/>
              <w:szCs w:val="22"/>
              <w:lang w:eastAsia="en-US"/>
            </w:rPr>
            <w:instrText xml:space="preserve"> CITATION UNE06 \l 2057 </w:instrText>
          </w:r>
          <w:r w:rsidRPr="00AA7067">
            <w:rPr>
              <w:rFonts w:ascii="Calibri" w:eastAsia="Calibri" w:hAnsi="Calibri"/>
              <w:iCs/>
              <w:sz w:val="22"/>
              <w:szCs w:val="22"/>
              <w:lang w:eastAsia="en-US"/>
            </w:rPr>
            <w:fldChar w:fldCharType="separate"/>
          </w:r>
          <w:r w:rsidRPr="00AA7067">
            <w:rPr>
              <w:rFonts w:ascii="Calibri" w:eastAsia="Calibri" w:hAnsi="Calibri"/>
              <w:noProof/>
              <w:sz w:val="22"/>
              <w:szCs w:val="22"/>
              <w:lang w:eastAsia="en-US"/>
            </w:rPr>
            <w:t>(UNESCO, 2006)</w:t>
          </w:r>
          <w:r w:rsidRPr="00AA7067">
            <w:rPr>
              <w:rFonts w:ascii="Calibri" w:eastAsia="Calibri" w:hAnsi="Calibri"/>
              <w:iCs/>
              <w:sz w:val="22"/>
              <w:szCs w:val="22"/>
              <w:lang w:eastAsia="en-US"/>
            </w:rPr>
            <w:fldChar w:fldCharType="end"/>
          </w:r>
        </w:sdtContent>
      </w:sdt>
      <w:r w:rsidRPr="00AA7067">
        <w:rPr>
          <w:rFonts w:ascii="Calibri" w:eastAsia="Calibri" w:hAnsi="Calibri"/>
          <w:sz w:val="22"/>
          <w:szCs w:val="22"/>
          <w:lang w:eastAsia="en-US"/>
        </w:rPr>
        <w:t>, z nichž je odvozena definice gramotnosti pro ELIC:</w:t>
      </w:r>
    </w:p>
    <w:p w14:paraId="5969D661" w14:textId="77777777" w:rsidR="00AA7067" w:rsidRPr="00AA7067" w:rsidRDefault="00AA7067" w:rsidP="00AA7067">
      <w:pPr>
        <w:numPr>
          <w:ilvl w:val="0"/>
          <w:numId w:val="36"/>
        </w:numPr>
        <w:spacing w:after="160" w:line="259" w:lineRule="auto"/>
        <w:contextualSpacing/>
        <w:rPr>
          <w:rFonts w:ascii="Calibri" w:eastAsia="Calibri" w:hAnsi="Calibri"/>
          <w:iCs/>
          <w:sz w:val="22"/>
          <w:szCs w:val="22"/>
          <w:lang w:eastAsia="en-US"/>
        </w:rPr>
      </w:pPr>
      <w:r w:rsidRPr="00AA7067">
        <w:rPr>
          <w:rFonts w:ascii="Calibri" w:eastAsia="Calibri" w:hAnsi="Calibri"/>
          <w:b/>
          <w:iCs/>
          <w:sz w:val="22"/>
          <w:szCs w:val="22"/>
          <w:lang w:eastAsia="en-US"/>
        </w:rPr>
        <w:t xml:space="preserve">Gramotnost jako </w:t>
      </w:r>
      <w:r w:rsidRPr="00AA7067">
        <w:rPr>
          <w:rFonts w:ascii="Calibri" w:eastAsia="Calibri" w:hAnsi="Calibri"/>
          <w:b/>
          <w:i/>
          <w:iCs/>
          <w:sz w:val="22"/>
          <w:szCs w:val="22"/>
          <w:lang w:eastAsia="en-US"/>
        </w:rPr>
        <w:t>dovednosti</w:t>
      </w:r>
      <w:r w:rsidRPr="00AA7067">
        <w:rPr>
          <w:rFonts w:ascii="Calibri" w:eastAsia="Calibri" w:hAnsi="Calibri"/>
          <w:iCs/>
          <w:sz w:val="22"/>
          <w:szCs w:val="22"/>
          <w:lang w:eastAsia="en-US"/>
        </w:rPr>
        <w:t>: dovednosti jako čtení a psaní, ale také počítání, dovednosti používané na pracovišti, ale také informační gramotnost, schopnost používat nová média ke komunikaci.</w:t>
      </w:r>
    </w:p>
    <w:p w14:paraId="4C5230F6" w14:textId="77777777" w:rsidR="00AA7067" w:rsidRPr="00AA7067" w:rsidRDefault="00AA7067" w:rsidP="00AA7067">
      <w:pPr>
        <w:numPr>
          <w:ilvl w:val="0"/>
          <w:numId w:val="36"/>
        </w:numPr>
        <w:spacing w:after="160" w:line="259" w:lineRule="auto"/>
        <w:contextualSpacing/>
        <w:rPr>
          <w:rFonts w:ascii="Calibri" w:eastAsia="Calibri" w:hAnsi="Calibri"/>
          <w:iCs/>
          <w:sz w:val="22"/>
          <w:szCs w:val="22"/>
          <w:lang w:eastAsia="en-US"/>
        </w:rPr>
      </w:pPr>
      <w:r w:rsidRPr="00AA7067">
        <w:rPr>
          <w:rFonts w:ascii="Calibri" w:eastAsia="Calibri" w:hAnsi="Calibri"/>
          <w:b/>
          <w:iCs/>
          <w:sz w:val="22"/>
          <w:szCs w:val="22"/>
          <w:lang w:eastAsia="en-US"/>
        </w:rPr>
        <w:t xml:space="preserve">Gramotnost </w:t>
      </w:r>
      <w:r w:rsidRPr="00AA7067">
        <w:rPr>
          <w:rFonts w:ascii="Calibri" w:eastAsia="Calibri" w:hAnsi="Calibri"/>
          <w:b/>
          <w:i/>
          <w:iCs/>
          <w:sz w:val="22"/>
          <w:szCs w:val="22"/>
          <w:lang w:eastAsia="en-US"/>
        </w:rPr>
        <w:t>aplikovaná a procvičovaná</w:t>
      </w:r>
      <w:r w:rsidRPr="00AA7067">
        <w:rPr>
          <w:rFonts w:ascii="Calibri" w:eastAsia="Calibri" w:hAnsi="Calibri"/>
          <w:iCs/>
          <w:sz w:val="22"/>
          <w:szCs w:val="22"/>
          <w:lang w:eastAsia="en-US"/>
        </w:rPr>
        <w:t>: funkční gramotnost vhodná pro konkrétní událost, která může vysvětlit, proč negramotní lidé v určitých situacích dobře pracují.</w:t>
      </w:r>
    </w:p>
    <w:p w14:paraId="082D3286" w14:textId="77777777" w:rsidR="00AA7067" w:rsidRPr="00AA7067" w:rsidRDefault="00AA7067" w:rsidP="00AA7067">
      <w:pPr>
        <w:numPr>
          <w:ilvl w:val="0"/>
          <w:numId w:val="36"/>
        </w:numPr>
        <w:spacing w:after="160" w:line="259" w:lineRule="auto"/>
        <w:contextualSpacing/>
        <w:rPr>
          <w:rFonts w:ascii="Calibri" w:eastAsia="Calibri" w:hAnsi="Calibri"/>
          <w:iCs/>
          <w:sz w:val="22"/>
          <w:szCs w:val="22"/>
          <w:lang w:eastAsia="en-US"/>
        </w:rPr>
      </w:pPr>
      <w:r w:rsidRPr="00AA7067">
        <w:rPr>
          <w:rFonts w:ascii="Calibri" w:eastAsia="Calibri" w:hAnsi="Calibri"/>
          <w:b/>
          <w:iCs/>
          <w:sz w:val="22"/>
          <w:szCs w:val="22"/>
          <w:lang w:eastAsia="en-US"/>
        </w:rPr>
        <w:t xml:space="preserve">Gramotnost jako </w:t>
      </w:r>
      <w:r w:rsidRPr="00AA7067">
        <w:rPr>
          <w:rFonts w:ascii="Calibri" w:eastAsia="Calibri" w:hAnsi="Calibri"/>
          <w:b/>
          <w:i/>
          <w:iCs/>
          <w:sz w:val="22"/>
          <w:szCs w:val="22"/>
          <w:lang w:eastAsia="en-US"/>
        </w:rPr>
        <w:t>proces učení</w:t>
      </w:r>
      <w:r w:rsidRPr="00AA7067">
        <w:rPr>
          <w:rFonts w:ascii="Calibri" w:eastAsia="Calibri" w:hAnsi="Calibri"/>
          <w:iCs/>
          <w:sz w:val="22"/>
          <w:szCs w:val="22"/>
          <w:lang w:eastAsia="en-US"/>
        </w:rPr>
        <w:t xml:space="preserve">: učení vytváří cyklus, který sám zvyšuje gramotnost, protože konstruktivistické učební zkušenosti umožňují studentům pochopit jejich učení. Tato myšlenka se odráží v teorii zážitkového vzdělávacího cyklu </w:t>
      </w:r>
      <w:sdt>
        <w:sdtPr>
          <w:rPr>
            <w:rFonts w:ascii="Calibri" w:eastAsia="Calibri" w:hAnsi="Calibri"/>
            <w:iCs/>
            <w:sz w:val="22"/>
            <w:szCs w:val="22"/>
            <w:lang w:eastAsia="en-US"/>
          </w:rPr>
          <w:id w:val="-946303925"/>
          <w:citation/>
        </w:sdtPr>
        <w:sdtContent>
          <w:r w:rsidRPr="00AA7067">
            <w:rPr>
              <w:rFonts w:ascii="Calibri" w:eastAsia="Calibri" w:hAnsi="Calibri"/>
              <w:iCs/>
              <w:sz w:val="22"/>
              <w:szCs w:val="22"/>
              <w:lang w:eastAsia="en-US"/>
            </w:rPr>
            <w:fldChar w:fldCharType="begin"/>
          </w:r>
          <w:r w:rsidRPr="00AA7067">
            <w:rPr>
              <w:rFonts w:ascii="Calibri" w:eastAsia="Calibri" w:hAnsi="Calibri"/>
              <w:iCs/>
              <w:sz w:val="22"/>
              <w:szCs w:val="22"/>
              <w:lang w:eastAsia="en-US"/>
            </w:rPr>
            <w:instrText xml:space="preserve"> CITATION Kol84 \l 2057 </w:instrText>
          </w:r>
          <w:r w:rsidRPr="00AA7067">
            <w:rPr>
              <w:rFonts w:ascii="Calibri" w:eastAsia="Calibri" w:hAnsi="Calibri"/>
              <w:iCs/>
              <w:sz w:val="22"/>
              <w:szCs w:val="22"/>
              <w:lang w:eastAsia="en-US"/>
            </w:rPr>
            <w:fldChar w:fldCharType="separate"/>
          </w:r>
          <w:r w:rsidRPr="00AA7067">
            <w:rPr>
              <w:rFonts w:ascii="Calibri" w:eastAsia="Calibri" w:hAnsi="Calibri"/>
              <w:noProof/>
              <w:sz w:val="22"/>
              <w:szCs w:val="22"/>
              <w:lang w:eastAsia="en-US"/>
            </w:rPr>
            <w:t>(Kolb, 1984)</w:t>
          </w:r>
          <w:r w:rsidRPr="00AA7067">
            <w:rPr>
              <w:rFonts w:ascii="Calibri" w:eastAsia="Calibri" w:hAnsi="Calibri"/>
              <w:iCs/>
              <w:sz w:val="22"/>
              <w:szCs w:val="22"/>
              <w:lang w:eastAsia="en-US"/>
            </w:rPr>
            <w:fldChar w:fldCharType="end"/>
          </w:r>
        </w:sdtContent>
      </w:sdt>
      <w:r w:rsidRPr="00AA7067">
        <w:rPr>
          <w:rFonts w:ascii="Calibri" w:eastAsia="Calibri" w:hAnsi="Calibri"/>
          <w:iCs/>
          <w:sz w:val="22"/>
          <w:szCs w:val="22"/>
          <w:lang w:eastAsia="en-US"/>
        </w:rPr>
        <w:t>, kde konkrétní zkušenosti vedou k reflexi a následně ke konceptualizaci a konečně k experimentování. To lze dále rozšířit v pojetí kritických gramotností, v nichž je sociokulturní realita integrována do procesu učení gramotnosti (např. jak jsme formováni a škatulkováni v naší společnosti slovy / jazykem / textem, který používáme / se kterým se setkáváme).</w:t>
      </w:r>
    </w:p>
    <w:p w14:paraId="48F7FA66" w14:textId="77777777" w:rsidR="00AA7067" w:rsidRPr="00AA7067" w:rsidRDefault="00AA7067" w:rsidP="00AA7067">
      <w:pPr>
        <w:numPr>
          <w:ilvl w:val="0"/>
          <w:numId w:val="36"/>
        </w:numPr>
        <w:spacing w:after="160" w:line="259" w:lineRule="auto"/>
        <w:contextualSpacing/>
        <w:rPr>
          <w:rFonts w:ascii="Calibri" w:eastAsia="Calibri" w:hAnsi="Calibri"/>
          <w:iCs/>
          <w:sz w:val="22"/>
          <w:szCs w:val="22"/>
          <w:lang w:eastAsia="en-US"/>
        </w:rPr>
      </w:pPr>
      <w:r w:rsidRPr="00AA7067">
        <w:rPr>
          <w:rFonts w:ascii="Calibri" w:eastAsia="Calibri" w:hAnsi="Calibri"/>
          <w:b/>
          <w:iCs/>
          <w:sz w:val="22"/>
          <w:szCs w:val="22"/>
          <w:lang w:eastAsia="en-US"/>
        </w:rPr>
        <w:t xml:space="preserve">Gramotnost jako </w:t>
      </w:r>
      <w:r w:rsidRPr="00AA7067">
        <w:rPr>
          <w:rFonts w:ascii="Calibri" w:eastAsia="Calibri" w:hAnsi="Calibri"/>
          <w:b/>
          <w:i/>
          <w:iCs/>
          <w:sz w:val="22"/>
          <w:szCs w:val="22"/>
          <w:lang w:eastAsia="en-US"/>
        </w:rPr>
        <w:t>text</w:t>
      </w:r>
      <w:r w:rsidRPr="00AA7067">
        <w:rPr>
          <w:rFonts w:ascii="Calibri" w:eastAsia="Calibri" w:hAnsi="Calibri"/>
          <w:iCs/>
          <w:sz w:val="22"/>
          <w:szCs w:val="22"/>
          <w:lang w:eastAsia="en-US"/>
        </w:rPr>
        <w:t>: gramotnost jako předmět - například fyzický text. Text se může lišit podle žánru, složitosti jazyka a jeho základní ideologie. To se v posledních letech zhoršilo novými typy textů (nebo novými gramotnostmi), jako jsou tzv. nové mediální příklady, které zahrnují nejen webové stránky a SMS zprávy, ale také Web 2.0 technologie včetně Facebook, WhatsApp a Instagram.</w:t>
      </w:r>
    </w:p>
    <w:p w14:paraId="6C4DEBFA" w14:textId="77777777" w:rsidR="00AA7067" w:rsidRPr="00AA7067" w:rsidRDefault="00AA7067" w:rsidP="00AA7067">
      <w:pPr>
        <w:spacing w:after="160" w:line="259" w:lineRule="auto"/>
        <w:rPr>
          <w:rFonts w:ascii="Calibri" w:eastAsia="Calibri" w:hAnsi="Calibri"/>
          <w:iCs/>
          <w:sz w:val="22"/>
          <w:szCs w:val="22"/>
          <w:lang w:eastAsia="en-US"/>
        </w:rPr>
      </w:pPr>
      <w:r w:rsidRPr="00AA7067">
        <w:rPr>
          <w:rFonts w:ascii="Calibri" w:eastAsia="Calibri" w:hAnsi="Calibri"/>
          <w:iCs/>
          <w:sz w:val="22"/>
          <w:szCs w:val="22"/>
          <w:lang w:eastAsia="en-US"/>
        </w:rPr>
        <w:t xml:space="preserve">Při pohledu na gramotnost, zejména s ohledem na tento čtvrtý bod - gramotnost jako text -, existuje mnoho důkazů </w:t>
      </w:r>
      <w:sdt>
        <w:sdtPr>
          <w:rPr>
            <w:rFonts w:ascii="Calibri" w:eastAsia="Calibri" w:hAnsi="Calibri"/>
            <w:iCs/>
            <w:sz w:val="22"/>
            <w:szCs w:val="22"/>
            <w:lang w:eastAsia="en-US"/>
          </w:rPr>
          <w:id w:val="-2017995726"/>
          <w:citation/>
        </w:sdtPr>
        <w:sdtContent>
          <w:r w:rsidRPr="00AA7067">
            <w:rPr>
              <w:rFonts w:ascii="Calibri" w:eastAsia="Calibri" w:hAnsi="Calibri"/>
              <w:iCs/>
              <w:sz w:val="22"/>
              <w:szCs w:val="22"/>
              <w:lang w:eastAsia="en-US"/>
            </w:rPr>
            <w:fldChar w:fldCharType="begin"/>
          </w:r>
          <w:r w:rsidRPr="00AA7067">
            <w:rPr>
              <w:rFonts w:ascii="Calibri" w:eastAsia="Calibri" w:hAnsi="Calibri"/>
              <w:iCs/>
              <w:sz w:val="22"/>
              <w:szCs w:val="22"/>
              <w:lang w:eastAsia="en-US"/>
            </w:rPr>
            <w:instrText xml:space="preserve">CITATION Ell07 \m Lan061 \l 2057 </w:instrText>
          </w:r>
          <w:r w:rsidRPr="00AA7067">
            <w:rPr>
              <w:rFonts w:ascii="Calibri" w:eastAsia="Calibri" w:hAnsi="Calibri"/>
              <w:iCs/>
              <w:sz w:val="22"/>
              <w:szCs w:val="22"/>
              <w:lang w:eastAsia="en-US"/>
            </w:rPr>
            <w:fldChar w:fldCharType="separate"/>
          </w:r>
          <w:r w:rsidRPr="00AA7067">
            <w:rPr>
              <w:rFonts w:ascii="Calibri" w:eastAsia="Calibri" w:hAnsi="Calibri"/>
              <w:noProof/>
              <w:sz w:val="22"/>
              <w:szCs w:val="22"/>
              <w:lang w:eastAsia="en-US"/>
            </w:rPr>
            <w:t>(Elliot, 2007; Lankshear &amp; Knobel, 2011)</w:t>
          </w:r>
          <w:r w:rsidRPr="00AA7067">
            <w:rPr>
              <w:rFonts w:ascii="Calibri" w:eastAsia="Calibri" w:hAnsi="Calibri"/>
              <w:iCs/>
              <w:sz w:val="22"/>
              <w:szCs w:val="22"/>
              <w:lang w:eastAsia="en-US"/>
            </w:rPr>
            <w:fldChar w:fldCharType="end"/>
          </w:r>
        </w:sdtContent>
      </w:sdt>
      <w:r w:rsidRPr="00AA7067">
        <w:rPr>
          <w:rFonts w:ascii="Calibri" w:eastAsia="Calibri" w:hAnsi="Calibri"/>
          <w:iCs/>
          <w:sz w:val="22"/>
          <w:szCs w:val="22"/>
          <w:lang w:eastAsia="en-US"/>
        </w:rPr>
        <w:t xml:space="preserve">, které naznačují, že mezi těmito médii existuje nesoulad k vyjádření gramotnosti, protože je využívají učitelé a jejich žáci. Možným důvodem může být digitální nativita těchto aktérů </w:t>
      </w:r>
      <w:sdt>
        <w:sdtPr>
          <w:rPr>
            <w:rFonts w:ascii="Calibri" w:eastAsia="Calibri" w:hAnsi="Calibri"/>
            <w:iCs/>
            <w:sz w:val="22"/>
            <w:szCs w:val="22"/>
            <w:lang w:eastAsia="en-US"/>
          </w:rPr>
          <w:id w:val="934010321"/>
          <w:citation/>
        </w:sdtPr>
        <w:sdtContent>
          <w:r w:rsidRPr="00AA7067">
            <w:rPr>
              <w:rFonts w:ascii="Calibri" w:eastAsia="Calibri" w:hAnsi="Calibri"/>
              <w:iCs/>
              <w:sz w:val="22"/>
              <w:szCs w:val="22"/>
              <w:lang w:eastAsia="en-US"/>
            </w:rPr>
            <w:fldChar w:fldCharType="begin"/>
          </w:r>
          <w:r w:rsidRPr="00AA7067">
            <w:rPr>
              <w:rFonts w:ascii="Calibri" w:eastAsia="Calibri" w:hAnsi="Calibri"/>
              <w:iCs/>
              <w:sz w:val="22"/>
              <w:szCs w:val="22"/>
              <w:lang w:eastAsia="en-US"/>
            </w:rPr>
            <w:instrText xml:space="preserve"> CITATION Pre01 \l 2057 </w:instrText>
          </w:r>
          <w:r w:rsidRPr="00AA7067">
            <w:rPr>
              <w:rFonts w:ascii="Calibri" w:eastAsia="Calibri" w:hAnsi="Calibri"/>
              <w:iCs/>
              <w:sz w:val="22"/>
              <w:szCs w:val="22"/>
              <w:lang w:eastAsia="en-US"/>
            </w:rPr>
            <w:fldChar w:fldCharType="separate"/>
          </w:r>
          <w:r w:rsidRPr="00AA7067">
            <w:rPr>
              <w:rFonts w:ascii="Calibri" w:eastAsia="Calibri" w:hAnsi="Calibri"/>
              <w:noProof/>
              <w:sz w:val="22"/>
              <w:szCs w:val="22"/>
              <w:lang w:eastAsia="en-US"/>
            </w:rPr>
            <w:t>(Prensky, 2001)</w:t>
          </w:r>
          <w:r w:rsidRPr="00AA7067">
            <w:rPr>
              <w:rFonts w:ascii="Calibri" w:eastAsia="Calibri" w:hAnsi="Calibri"/>
              <w:iCs/>
              <w:sz w:val="22"/>
              <w:szCs w:val="22"/>
              <w:lang w:eastAsia="en-US"/>
            </w:rPr>
            <w:fldChar w:fldCharType="end"/>
          </w:r>
        </w:sdtContent>
      </w:sdt>
      <w:r w:rsidRPr="00AA7067">
        <w:rPr>
          <w:rFonts w:ascii="Calibri" w:eastAsia="Calibri" w:hAnsi="Calibri"/>
          <w:iCs/>
          <w:sz w:val="22"/>
          <w:szCs w:val="22"/>
          <w:lang w:eastAsia="en-US"/>
        </w:rPr>
        <w:t xml:space="preserve">, která může být snadněji představována typickým věkovým rozdílem mezi učitelem a žákem, kdy průměrný věk středoškolského učitele je 43 let </w:t>
      </w:r>
      <w:sdt>
        <w:sdtPr>
          <w:rPr>
            <w:rFonts w:ascii="Calibri" w:eastAsia="Calibri" w:hAnsi="Calibri"/>
            <w:iCs/>
            <w:sz w:val="22"/>
            <w:szCs w:val="22"/>
            <w:lang w:eastAsia="en-US"/>
          </w:rPr>
          <w:id w:val="1814377409"/>
          <w:citation/>
        </w:sdtPr>
        <w:sdtContent>
          <w:r w:rsidRPr="00AA7067">
            <w:rPr>
              <w:rFonts w:ascii="Calibri" w:eastAsia="Calibri" w:hAnsi="Calibri"/>
              <w:iCs/>
              <w:sz w:val="22"/>
              <w:szCs w:val="22"/>
              <w:lang w:eastAsia="en-US"/>
            </w:rPr>
            <w:fldChar w:fldCharType="begin"/>
          </w:r>
          <w:r w:rsidRPr="00AA7067">
            <w:rPr>
              <w:rFonts w:ascii="Calibri" w:eastAsia="Calibri" w:hAnsi="Calibri"/>
              <w:iCs/>
              <w:sz w:val="22"/>
              <w:szCs w:val="22"/>
              <w:lang w:eastAsia="en-US"/>
            </w:rPr>
            <w:instrText xml:space="preserve"> CITATION TAL13 \l 2057 </w:instrText>
          </w:r>
          <w:r w:rsidRPr="00AA7067">
            <w:rPr>
              <w:rFonts w:ascii="Calibri" w:eastAsia="Calibri" w:hAnsi="Calibri"/>
              <w:iCs/>
              <w:sz w:val="22"/>
              <w:szCs w:val="22"/>
              <w:lang w:eastAsia="en-US"/>
            </w:rPr>
            <w:fldChar w:fldCharType="separate"/>
          </w:r>
          <w:r w:rsidRPr="00AA7067">
            <w:rPr>
              <w:rFonts w:ascii="Calibri" w:eastAsia="Calibri" w:hAnsi="Calibri"/>
              <w:noProof/>
              <w:sz w:val="22"/>
              <w:szCs w:val="22"/>
              <w:lang w:eastAsia="en-US"/>
            </w:rPr>
            <w:t>(TALIS, 2013)</w:t>
          </w:r>
          <w:r w:rsidRPr="00AA7067">
            <w:rPr>
              <w:rFonts w:ascii="Calibri" w:eastAsia="Calibri" w:hAnsi="Calibri"/>
              <w:iCs/>
              <w:sz w:val="22"/>
              <w:szCs w:val="22"/>
              <w:lang w:eastAsia="en-US"/>
            </w:rPr>
            <w:fldChar w:fldCharType="end"/>
          </w:r>
        </w:sdtContent>
      </w:sdt>
      <w:r w:rsidRPr="00AA7067">
        <w:rPr>
          <w:rFonts w:ascii="Calibri" w:eastAsia="Calibri" w:hAnsi="Calibri"/>
          <w:iCs/>
          <w:sz w:val="22"/>
          <w:szCs w:val="22"/>
          <w:lang w:eastAsia="en-US"/>
        </w:rPr>
        <w:t>, zatímco maximální věk středoškolského studenta je 19 let.</w:t>
      </w:r>
    </w:p>
    <w:p w14:paraId="0462B642" w14:textId="77777777" w:rsidR="00AA7067" w:rsidRPr="00AA7067" w:rsidRDefault="00AA7067" w:rsidP="00AA7067">
      <w:pPr>
        <w:spacing w:after="160" w:line="259" w:lineRule="auto"/>
        <w:rPr>
          <w:rFonts w:ascii="Calibri" w:eastAsia="Calibri" w:hAnsi="Calibri"/>
          <w:iCs/>
          <w:sz w:val="22"/>
          <w:szCs w:val="22"/>
          <w:lang w:eastAsia="en-US"/>
        </w:rPr>
      </w:pPr>
      <w:r w:rsidRPr="00AA7067">
        <w:rPr>
          <w:rFonts w:ascii="Calibri" w:eastAsia="Calibri" w:hAnsi="Calibri"/>
          <w:iCs/>
          <w:sz w:val="22"/>
          <w:szCs w:val="22"/>
          <w:lang w:eastAsia="en-US"/>
        </w:rPr>
        <w:lastRenderedPageBreak/>
        <w:t>Výzvou společnosti ELIC proto bylo překonat tento nesoulad ve snaze podporovat interdisciplinární výuku prostřednictvím praktických příkladů a využívat tyto nové gramotnosti, které jsou více sladěny s myšlenkami studentů (Lankshear &amp; Knobel, 2011). Výzva byla rozšířena na účastníky MOOC, jimž byly ukázány praktické příklady nových médií relevantních pro matematiku a přírodní vědy - GeoGebra a PhyPhox -, které by mohly fungovat, a poté byli požádáni, aby přispěli svými vlastními pedagogickými zkušenostmi z této oblasti nesouladu nových gramotností.</w:t>
      </w:r>
    </w:p>
    <w:p w14:paraId="59F6ACC2" w14:textId="77777777" w:rsidR="00AA7067" w:rsidRPr="00AA7067" w:rsidRDefault="00AA7067" w:rsidP="00AA7067">
      <w:pPr>
        <w:spacing w:after="160" w:line="259" w:lineRule="auto"/>
        <w:rPr>
          <w:rFonts w:ascii="Calibri" w:eastAsia="Calibri" w:hAnsi="Calibri"/>
          <w:b/>
          <w:bCs/>
          <w:iCs/>
          <w:lang w:eastAsia="en-US"/>
        </w:rPr>
      </w:pPr>
      <w:r w:rsidRPr="00AA7067">
        <w:rPr>
          <w:rFonts w:ascii="Calibri" w:eastAsia="Calibri" w:hAnsi="Calibri"/>
          <w:b/>
          <w:bCs/>
          <w:iCs/>
          <w:lang w:eastAsia="en-US"/>
        </w:rPr>
        <w:t>Odkazy</w:t>
      </w:r>
    </w:p>
    <w:sdt>
      <w:sdtPr>
        <w:rPr>
          <w:rFonts w:ascii="Calibri" w:eastAsia="Calibri" w:hAnsi="Calibri"/>
          <w:sz w:val="22"/>
          <w:szCs w:val="22"/>
          <w:lang w:eastAsia="en-US"/>
        </w:rPr>
        <w:id w:val="-1149671111"/>
        <w:docPartObj>
          <w:docPartGallery w:val="Bibliographies"/>
          <w:docPartUnique/>
        </w:docPartObj>
      </w:sdtPr>
      <w:sdtEndPr>
        <w:rPr>
          <w:b/>
          <w:bCs/>
        </w:rPr>
      </w:sdtEndPr>
      <w:sdtContent>
        <w:p w14:paraId="674E83D0" w14:textId="77777777" w:rsidR="00AA7067" w:rsidRPr="00AA7067" w:rsidRDefault="00AA7067" w:rsidP="00AA7067">
          <w:pPr>
            <w:keepNext/>
            <w:keepLines/>
            <w:spacing w:before="240" w:line="259" w:lineRule="auto"/>
            <w:outlineLvl w:val="0"/>
            <w:rPr>
              <w:rFonts w:ascii="Calibri Light" w:hAnsi="Calibri Light"/>
              <w:color w:val="2F5496"/>
              <w:sz w:val="4"/>
              <w:szCs w:val="4"/>
              <w:lang w:eastAsia="en-GB"/>
            </w:rPr>
          </w:pPr>
        </w:p>
        <w:p w14:paraId="4A23ADA2"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sz w:val="20"/>
              <w:szCs w:val="20"/>
              <w:lang w:eastAsia="en-US"/>
            </w:rPr>
            <w:fldChar w:fldCharType="begin"/>
          </w:r>
          <w:r w:rsidRPr="00AA7067">
            <w:rPr>
              <w:rFonts w:ascii="Calibri" w:eastAsia="Calibri" w:hAnsi="Calibri"/>
              <w:sz w:val="20"/>
              <w:szCs w:val="20"/>
              <w:lang w:eastAsia="en-US"/>
            </w:rPr>
            <w:instrText>BIBLIOGRAPHY</w:instrText>
          </w:r>
          <w:r w:rsidRPr="00AA7067">
            <w:rPr>
              <w:rFonts w:ascii="Calibri" w:eastAsia="Calibri" w:hAnsi="Calibri"/>
              <w:sz w:val="20"/>
              <w:szCs w:val="20"/>
              <w:lang w:eastAsia="en-US"/>
            </w:rPr>
            <w:fldChar w:fldCharType="separate"/>
          </w:r>
          <w:r w:rsidRPr="00AA7067">
            <w:rPr>
              <w:rFonts w:ascii="Calibri" w:eastAsia="Calibri" w:hAnsi="Calibri"/>
              <w:noProof/>
              <w:sz w:val="20"/>
              <w:szCs w:val="20"/>
              <w:lang w:eastAsia="en-US"/>
            </w:rPr>
            <w:t xml:space="preserve">Alberta Education. (2019). </w:t>
          </w:r>
          <w:r w:rsidRPr="00AA7067">
            <w:rPr>
              <w:rFonts w:ascii="Calibri" w:eastAsia="Calibri" w:hAnsi="Calibri"/>
              <w:i/>
              <w:iCs/>
              <w:noProof/>
              <w:sz w:val="20"/>
              <w:szCs w:val="20"/>
              <w:lang w:eastAsia="en-US"/>
            </w:rPr>
            <w:t>Alberta Education</w:t>
          </w:r>
          <w:r w:rsidRPr="00AA7067">
            <w:rPr>
              <w:rFonts w:ascii="Calibri" w:eastAsia="Calibri" w:hAnsi="Calibri"/>
              <w:noProof/>
              <w:sz w:val="20"/>
              <w:szCs w:val="20"/>
              <w:lang w:eastAsia="en-US"/>
            </w:rPr>
            <w:t>. 12. 7. 2019. Dostupné z: https://education.alberta.ca/litt%C3%A9ratie-et-num%C3%A9ratie/aper%C3%A7u/everyone/litt%C3%A9ratie-et-num%C3%A9ratie/</w:t>
          </w:r>
        </w:p>
        <w:p w14:paraId="55C90F58"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ELIC. (2018). </w:t>
          </w:r>
          <w:r w:rsidRPr="00AA7067">
            <w:rPr>
              <w:rFonts w:ascii="Calibri" w:eastAsia="Calibri" w:hAnsi="Calibri"/>
              <w:i/>
              <w:iCs/>
              <w:noProof/>
              <w:sz w:val="20"/>
              <w:szCs w:val="20"/>
              <w:lang w:eastAsia="en-US"/>
            </w:rPr>
            <w:t>ELIC</w:t>
          </w:r>
          <w:r w:rsidRPr="00AA7067">
            <w:rPr>
              <w:rFonts w:ascii="Calibri" w:eastAsia="Calibri" w:hAnsi="Calibri"/>
              <w:noProof/>
              <w:sz w:val="20"/>
              <w:szCs w:val="20"/>
              <w:lang w:eastAsia="en-US"/>
            </w:rPr>
            <w:t>. 12. 7. 2019. Dostupné z: http://elic.fh-joanneum.at/info/</w:t>
          </w:r>
        </w:p>
        <w:p w14:paraId="1D5E879A"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Elliot, B. (2007). </w:t>
          </w:r>
          <w:r w:rsidRPr="00AA7067">
            <w:rPr>
              <w:rFonts w:ascii="Calibri" w:eastAsia="Calibri" w:hAnsi="Calibri"/>
              <w:i/>
              <w:iCs/>
              <w:noProof/>
              <w:sz w:val="20"/>
              <w:szCs w:val="20"/>
              <w:lang w:eastAsia="en-US"/>
            </w:rPr>
            <w:t>Assessment 2.0: : Assessment in the age of Web 2.0.</w:t>
          </w:r>
          <w:r w:rsidRPr="00AA7067">
            <w:rPr>
              <w:rFonts w:ascii="Calibri" w:eastAsia="Calibri" w:hAnsi="Calibri"/>
              <w:noProof/>
              <w:sz w:val="20"/>
              <w:szCs w:val="20"/>
              <w:lang w:eastAsia="en-US"/>
            </w:rPr>
            <w:t xml:space="preserve"> 1. 2. 2017. Dostupné z Scottish Qualifications Authority: http://wiki.cetis.ac.uk/images/d/de/Assessment_2_v2.pdf</w:t>
          </w:r>
        </w:p>
        <w:p w14:paraId="4E84D03F"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Kolb, D. (1984). </w:t>
          </w:r>
          <w:r w:rsidRPr="00AA7067">
            <w:rPr>
              <w:rFonts w:ascii="Calibri" w:eastAsia="Calibri" w:hAnsi="Calibri"/>
              <w:i/>
              <w:iCs/>
              <w:noProof/>
              <w:sz w:val="20"/>
              <w:szCs w:val="20"/>
              <w:lang w:eastAsia="en-US"/>
            </w:rPr>
            <w:t>Experiential Learning: Experience as the Source of Learning and Development.</w:t>
          </w:r>
          <w:r w:rsidRPr="00AA7067">
            <w:rPr>
              <w:rFonts w:ascii="Calibri" w:eastAsia="Calibri" w:hAnsi="Calibri"/>
              <w:noProof/>
              <w:sz w:val="20"/>
              <w:szCs w:val="20"/>
              <w:lang w:eastAsia="en-US"/>
            </w:rPr>
            <w:t xml:space="preserve"> Englewood Cliffs, N.J.: Prentice-Hall.</w:t>
          </w:r>
        </w:p>
        <w:p w14:paraId="5835EEA8"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Lankshear, C., &amp; Knobel, M. (2011). </w:t>
          </w:r>
          <w:r w:rsidRPr="00AA7067">
            <w:rPr>
              <w:rFonts w:ascii="Calibri" w:eastAsia="Calibri" w:hAnsi="Calibri"/>
              <w:i/>
              <w:iCs/>
              <w:noProof/>
              <w:sz w:val="20"/>
              <w:szCs w:val="20"/>
              <w:lang w:eastAsia="en-US"/>
            </w:rPr>
            <w:t>New Literacies: Everyday Practices and Classroom Learning</w:t>
          </w:r>
          <w:r w:rsidRPr="00AA7067">
            <w:rPr>
              <w:rFonts w:ascii="Calibri" w:eastAsia="Calibri" w:hAnsi="Calibri"/>
              <w:noProof/>
              <w:sz w:val="20"/>
              <w:szCs w:val="20"/>
              <w:lang w:eastAsia="en-US"/>
            </w:rPr>
            <w:t xml:space="preserve"> (2nd ed.). Berkshire: McGraw-Hill/Open University.</w:t>
          </w:r>
        </w:p>
        <w:p w14:paraId="281180D8"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Prensky, M. (2001). Digital Natives, Digital Immigrants. </w:t>
          </w:r>
          <w:r w:rsidRPr="00AA7067">
            <w:rPr>
              <w:rFonts w:ascii="Calibri" w:eastAsia="Calibri" w:hAnsi="Calibri"/>
              <w:i/>
              <w:iCs/>
              <w:noProof/>
              <w:sz w:val="20"/>
              <w:szCs w:val="20"/>
              <w:lang w:eastAsia="en-US"/>
            </w:rPr>
            <w:t>On The Horizon, 9</w:t>
          </w:r>
          <w:r w:rsidRPr="00AA7067">
            <w:rPr>
              <w:rFonts w:ascii="Calibri" w:eastAsia="Calibri" w:hAnsi="Calibri"/>
              <w:noProof/>
              <w:sz w:val="20"/>
              <w:szCs w:val="20"/>
              <w:lang w:eastAsia="en-US"/>
            </w:rPr>
            <w:t>(5), 1-6.</w:t>
          </w:r>
        </w:p>
        <w:p w14:paraId="4288A1D4"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TALIS. (2013). </w:t>
          </w:r>
          <w:r w:rsidRPr="00AA7067">
            <w:rPr>
              <w:rFonts w:ascii="Calibri" w:eastAsia="Calibri" w:hAnsi="Calibri"/>
              <w:i/>
              <w:iCs/>
              <w:noProof/>
              <w:sz w:val="20"/>
              <w:szCs w:val="20"/>
              <w:lang w:eastAsia="en-US"/>
            </w:rPr>
            <w:t>The OECD Teaching and Learning International Survey (TALIS) - 2013 Results .</w:t>
          </w:r>
          <w:r w:rsidRPr="00AA7067">
            <w:rPr>
              <w:rFonts w:ascii="Calibri" w:eastAsia="Calibri" w:hAnsi="Calibri"/>
              <w:noProof/>
              <w:sz w:val="20"/>
              <w:szCs w:val="20"/>
              <w:lang w:eastAsia="en-US"/>
            </w:rPr>
            <w:t xml:space="preserve"> Paris: Organisation for Economic Co-operation and Development .</w:t>
          </w:r>
        </w:p>
        <w:p w14:paraId="0EB5272C" w14:textId="77777777" w:rsidR="00AA7067" w:rsidRPr="00AA7067" w:rsidRDefault="00AA7067" w:rsidP="00AA7067">
          <w:pPr>
            <w:spacing w:after="160" w:line="259" w:lineRule="auto"/>
            <w:ind w:left="720" w:hanging="720"/>
            <w:rPr>
              <w:rFonts w:ascii="Calibri" w:eastAsia="Calibri" w:hAnsi="Calibri"/>
              <w:noProof/>
              <w:sz w:val="20"/>
              <w:szCs w:val="20"/>
              <w:lang w:eastAsia="en-US"/>
            </w:rPr>
          </w:pPr>
          <w:r w:rsidRPr="00AA7067">
            <w:rPr>
              <w:rFonts w:ascii="Calibri" w:eastAsia="Calibri" w:hAnsi="Calibri"/>
              <w:noProof/>
              <w:sz w:val="20"/>
              <w:szCs w:val="20"/>
              <w:lang w:eastAsia="en-US"/>
            </w:rPr>
            <w:t xml:space="preserve">UNESCO. (2006). </w:t>
          </w:r>
          <w:r w:rsidRPr="00AA7067">
            <w:rPr>
              <w:rFonts w:ascii="Calibri" w:eastAsia="Calibri" w:hAnsi="Calibri"/>
              <w:i/>
              <w:iCs/>
              <w:noProof/>
              <w:sz w:val="20"/>
              <w:szCs w:val="20"/>
              <w:lang w:eastAsia="en-US"/>
            </w:rPr>
            <w:t>Education for all: literacy for life.</w:t>
          </w:r>
          <w:r w:rsidRPr="00AA7067">
            <w:rPr>
              <w:rFonts w:ascii="Calibri" w:eastAsia="Calibri" w:hAnsi="Calibri"/>
              <w:noProof/>
              <w:sz w:val="20"/>
              <w:szCs w:val="20"/>
              <w:lang w:eastAsia="en-US"/>
            </w:rPr>
            <w:t xml:space="preserve"> Paris: United Nations Educational, Scientific and Cultural Organization.</w:t>
          </w:r>
        </w:p>
        <w:p w14:paraId="56AC7EB3" w14:textId="77777777" w:rsidR="00AA7067" w:rsidRPr="00AA7067" w:rsidRDefault="00AA7067" w:rsidP="00AA7067">
          <w:pPr>
            <w:spacing w:after="160" w:line="259" w:lineRule="auto"/>
            <w:rPr>
              <w:rFonts w:ascii="Calibri" w:eastAsia="Calibri" w:hAnsi="Calibri"/>
              <w:sz w:val="22"/>
              <w:szCs w:val="22"/>
              <w:lang w:eastAsia="en-US"/>
            </w:rPr>
          </w:pPr>
          <w:r w:rsidRPr="00AA7067">
            <w:rPr>
              <w:rFonts w:ascii="Calibri" w:eastAsia="Calibri" w:hAnsi="Calibri"/>
              <w:b/>
              <w:bCs/>
              <w:sz w:val="20"/>
              <w:szCs w:val="20"/>
              <w:lang w:eastAsia="en-US"/>
            </w:rPr>
            <w:fldChar w:fldCharType="end"/>
          </w:r>
        </w:p>
      </w:sdtContent>
    </w:sdt>
    <w:p w14:paraId="32859050" w14:textId="77777777" w:rsidR="00AA7067" w:rsidRPr="00AA7067" w:rsidRDefault="00AA7067" w:rsidP="00AA7067">
      <w:pPr>
        <w:spacing w:after="160" w:line="259" w:lineRule="auto"/>
        <w:rPr>
          <w:rFonts w:ascii="Calibri" w:eastAsia="Calibri" w:hAnsi="Calibri"/>
          <w:lang w:eastAsia="en-US"/>
        </w:rPr>
      </w:pPr>
    </w:p>
    <w:p w14:paraId="48FE2D7F" w14:textId="77777777" w:rsidR="00AA7067" w:rsidRPr="00AA7067" w:rsidRDefault="00AA7067" w:rsidP="00AA7067">
      <w:pPr>
        <w:spacing w:after="160" w:line="259" w:lineRule="auto"/>
        <w:rPr>
          <w:rFonts w:ascii="Calibri" w:eastAsia="Calibri" w:hAnsi="Calibri"/>
          <w:lang w:eastAsia="en-US"/>
        </w:rPr>
      </w:pPr>
      <w:r w:rsidRPr="00AA7067">
        <w:rPr>
          <w:rFonts w:ascii="Calibri" w:eastAsia="Calibri" w:hAnsi="Calibri"/>
          <w:lang w:eastAsia="en-US"/>
        </w:rPr>
        <w:t xml:space="preserve">  </w:t>
      </w:r>
    </w:p>
    <w:p w14:paraId="1F0C1133" w14:textId="77777777" w:rsidR="00AA7067" w:rsidRPr="003616B0" w:rsidRDefault="00AA7067" w:rsidP="00B96F5A">
      <w:pPr>
        <w:tabs>
          <w:tab w:val="left" w:pos="6086"/>
        </w:tabs>
        <w:jc w:val="both"/>
        <w:rPr>
          <w:rFonts w:asciiTheme="minorHAnsi" w:hAnsiTheme="minorHAnsi" w:cstheme="minorHAnsi"/>
          <w:sz w:val="22"/>
          <w:szCs w:val="22"/>
          <w:lang w:val="de-DE" w:eastAsia="en-US"/>
        </w:rPr>
      </w:pPr>
      <w:bookmarkStart w:id="0" w:name="_GoBack"/>
      <w:bookmarkEnd w:id="0"/>
    </w:p>
    <w:sectPr w:rsidR="00AA7067" w:rsidRPr="003616B0"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067"/>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4C3A1265-B1C8-4A94-954A-36DEF151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Application>Microsoft Office Word</Application>
  <DocSecurity>0</DocSecurity>
  <Lines>37</Lines>
  <Paragraphs>10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2019-09-29T18:23:00Z</dcterms:created>
  <dcterms:modified xsi:type="dcterms:W3CDTF">2019-09-29T18:23:00Z</dcterms:modified>
</cp:coreProperties>
</file>