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proofErr w:type="spellStart"/>
      <w:r w:rsidRPr="001F58C4">
        <w:rPr>
          <w:rFonts w:asciiTheme="minorHAnsi" w:hAnsiTheme="minorHAnsi" w:cstheme="minorHAnsi"/>
          <w:b/>
          <w:smallCaps/>
          <w:sz w:val="40"/>
          <w:szCs w:val="22"/>
          <w:lang w:val="en-US"/>
        </w:rPr>
        <w:t>Sommario</w:t>
      </w:r>
      <w:proofErr w:type="spellEnd"/>
    </w:p>
    <w:p w14:paraId="23631686" w14:textId="77777777" w:rsidR="003A7308" w:rsidRPr="001F58C4" w:rsidRDefault="003A7308" w:rsidP="00A21454">
      <w:pPr>
        <w:jc w:val="both"/>
        <w:rPr>
          <w:rFonts w:asciiTheme="minorHAnsi" w:hAnsiTheme="minorHAnsi" w:cstheme="minorHAnsi"/>
          <w:szCs w:val="22"/>
          <w:lang w:val="en-US" w:eastAsia="en-US"/>
        </w:rPr>
      </w:pPr>
    </w:p>
    <w:p w14:paraId="381753BD" w14:textId="7746C922" w:rsidR="001F58C4" w:rsidRDefault="001F58C4" w:rsidP="00B96F5A">
      <w:pPr>
        <w:tabs>
          <w:tab w:val="left" w:pos="6086"/>
        </w:tabs>
        <w:jc w:val="both"/>
        <w:rPr>
          <w:rFonts w:asciiTheme="minorHAnsi" w:hAnsiTheme="minorHAnsi" w:cstheme="minorHAnsi"/>
          <w:sz w:val="22"/>
          <w:szCs w:val="22"/>
          <w:lang w:val="it-IT" w:eastAsia="en-US"/>
        </w:rPr>
      </w:pPr>
    </w:p>
    <w:p w14:paraId="7C72EFBE" w14:textId="4C51605D" w:rsidR="00A84D8F" w:rsidRPr="00A84D8F" w:rsidRDefault="00A84D8F" w:rsidP="00A84D8F">
      <w:pPr>
        <w:keepNext/>
        <w:spacing w:before="240" w:after="60"/>
        <w:jc w:val="both"/>
        <w:outlineLvl w:val="0"/>
        <w:rPr>
          <w:rFonts w:ascii="Calibri" w:hAnsi="Calibri" w:cs="Calibri"/>
          <w:b/>
          <w:sz w:val="28"/>
          <w:szCs w:val="22"/>
          <w:lang w:val="it-IT" w:eastAsia="en-US"/>
        </w:rPr>
      </w:pPr>
      <w:r w:rsidRPr="00A84D8F">
        <w:rPr>
          <w:rFonts w:ascii="Calibri" w:hAnsi="Calibri" w:cs="Calibri"/>
          <w:b/>
          <w:sz w:val="28"/>
          <w:szCs w:val="22"/>
          <w:lang w:val="it-IT" w:eastAsia="en-US"/>
        </w:rPr>
        <w:t>M</w:t>
      </w:r>
      <w:r>
        <w:rPr>
          <w:rFonts w:ascii="Calibri" w:hAnsi="Calibri" w:cs="Calibri"/>
          <w:b/>
          <w:sz w:val="28"/>
          <w:szCs w:val="22"/>
          <w:lang w:val="it-IT" w:eastAsia="en-US"/>
        </w:rPr>
        <w:t>OOC</w:t>
      </w:r>
      <w:r w:rsidRPr="00A84D8F">
        <w:rPr>
          <w:rFonts w:ascii="Calibri" w:hAnsi="Calibri" w:cs="Calibri"/>
          <w:b/>
          <w:sz w:val="28"/>
          <w:szCs w:val="22"/>
          <w:lang w:val="it-IT" w:eastAsia="en-US"/>
        </w:rPr>
        <w:t xml:space="preserve"> 6</w:t>
      </w:r>
      <w:r>
        <w:rPr>
          <w:rFonts w:ascii="Calibri" w:hAnsi="Calibri" w:cs="Calibri"/>
          <w:b/>
          <w:sz w:val="28"/>
          <w:szCs w:val="22"/>
          <w:lang w:val="it-IT" w:eastAsia="en-US"/>
        </w:rPr>
        <w:t>a settimana</w:t>
      </w:r>
      <w:r w:rsidRPr="00A84D8F">
        <w:rPr>
          <w:rFonts w:ascii="Calibri" w:hAnsi="Calibri" w:cs="Calibri"/>
          <w:b/>
          <w:sz w:val="28"/>
          <w:szCs w:val="22"/>
          <w:lang w:val="it-IT" w:eastAsia="en-US"/>
        </w:rPr>
        <w:t>: Sistema di Certificazione</w:t>
      </w:r>
    </w:p>
    <w:p w14:paraId="606436DF" w14:textId="77777777" w:rsidR="00A84D8F" w:rsidRPr="00A84D8F" w:rsidRDefault="00A84D8F" w:rsidP="00A84D8F">
      <w:pPr>
        <w:jc w:val="both"/>
        <w:rPr>
          <w:rFonts w:ascii="Calibri" w:hAnsi="Calibri" w:cs="Calibri"/>
          <w:lang w:val="it-IT" w:eastAsia="en-US"/>
        </w:rPr>
      </w:pPr>
    </w:p>
    <w:p w14:paraId="7F99E3BF" w14:textId="77777777" w:rsidR="00A84D8F" w:rsidRPr="00A84D8F" w:rsidRDefault="00A84D8F" w:rsidP="00A84D8F">
      <w:pPr>
        <w:jc w:val="both"/>
        <w:rPr>
          <w:rFonts w:ascii="Calibri" w:hAnsi="Calibri" w:cs="Calibri"/>
          <w:lang w:val="it-IT" w:eastAsia="en-US"/>
        </w:rPr>
      </w:pPr>
      <w:r w:rsidRPr="00A84D8F">
        <w:rPr>
          <w:rFonts w:ascii="Calibri" w:hAnsi="Calibri" w:cs="Calibri"/>
          <w:lang w:val="it-IT" w:eastAsia="en-US"/>
        </w:rPr>
        <w:t xml:space="preserve">Il test e la certificazione si basano sui seguenti concetti: </w:t>
      </w:r>
    </w:p>
    <w:p w14:paraId="4DC31551" w14:textId="77777777" w:rsidR="00A84D8F" w:rsidRPr="00A84D8F" w:rsidRDefault="00A84D8F" w:rsidP="00A84D8F">
      <w:pPr>
        <w:jc w:val="both"/>
        <w:rPr>
          <w:rFonts w:ascii="Calibri" w:hAnsi="Calibri" w:cs="Calibri"/>
          <w:lang w:val="it-IT" w:eastAsia="en-US"/>
        </w:rPr>
      </w:pPr>
    </w:p>
    <w:p w14:paraId="501592E0" w14:textId="77777777" w:rsidR="00A84D8F" w:rsidRPr="00A84D8F" w:rsidRDefault="00A84D8F" w:rsidP="00A84D8F">
      <w:pPr>
        <w:numPr>
          <w:ilvl w:val="0"/>
          <w:numId w:val="44"/>
        </w:numPr>
        <w:tabs>
          <w:tab w:val="left" w:pos="6086"/>
        </w:tabs>
        <w:contextualSpacing/>
        <w:jc w:val="both"/>
        <w:rPr>
          <w:rFonts w:ascii="Calibri" w:hAnsi="Calibri" w:cs="Calibri"/>
          <w:szCs w:val="22"/>
          <w:lang w:val="en-GB" w:eastAsia="en-US"/>
        </w:rPr>
      </w:pPr>
      <w:proofErr w:type="spellStart"/>
      <w:r w:rsidRPr="00A84D8F">
        <w:rPr>
          <w:rFonts w:ascii="Calibri" w:hAnsi="Calibri" w:cs="Calibri"/>
          <w:szCs w:val="22"/>
          <w:lang w:val="en-GB" w:eastAsia="en-US"/>
        </w:rPr>
        <w:t>Strategia</w:t>
      </w:r>
      <w:proofErr w:type="spellEnd"/>
      <w:r w:rsidRPr="00A84D8F">
        <w:rPr>
          <w:rFonts w:ascii="Calibri" w:hAnsi="Calibri" w:cs="Calibri"/>
          <w:szCs w:val="22"/>
          <w:lang w:val="en-GB" w:eastAsia="en-US"/>
        </w:rPr>
        <w:t xml:space="preserve"> di </w:t>
      </w:r>
      <w:proofErr w:type="spellStart"/>
      <w:r w:rsidRPr="00A84D8F">
        <w:rPr>
          <w:rFonts w:ascii="Calibri" w:hAnsi="Calibri" w:cs="Calibri"/>
          <w:szCs w:val="22"/>
          <w:lang w:val="en-GB" w:eastAsia="en-US"/>
        </w:rPr>
        <w:t>apprendimento</w:t>
      </w:r>
      <w:proofErr w:type="spellEnd"/>
      <w:r w:rsidRPr="00A84D8F">
        <w:rPr>
          <w:rFonts w:ascii="Calibri" w:hAnsi="Calibri" w:cs="Calibri"/>
          <w:szCs w:val="22"/>
          <w:lang w:val="en-GB" w:eastAsia="en-US"/>
        </w:rPr>
        <w:t xml:space="preserve"> </w:t>
      </w:r>
      <w:proofErr w:type="spellStart"/>
      <w:r w:rsidRPr="00A84D8F">
        <w:rPr>
          <w:rFonts w:ascii="Calibri" w:hAnsi="Calibri" w:cs="Calibri"/>
          <w:szCs w:val="22"/>
          <w:lang w:val="en-GB" w:eastAsia="en-US"/>
        </w:rPr>
        <w:t>permanente</w:t>
      </w:r>
      <w:proofErr w:type="spellEnd"/>
      <w:r w:rsidRPr="00A84D8F">
        <w:rPr>
          <w:rFonts w:ascii="Calibri" w:hAnsi="Calibri" w:cs="Calibri"/>
          <w:szCs w:val="22"/>
          <w:lang w:val="en-GB" w:eastAsia="en-US"/>
        </w:rPr>
        <w:t>.</w:t>
      </w:r>
    </w:p>
    <w:p w14:paraId="66B07C08" w14:textId="77777777" w:rsidR="00A84D8F" w:rsidRPr="00A84D8F" w:rsidRDefault="00A84D8F" w:rsidP="00A84D8F">
      <w:pPr>
        <w:jc w:val="both"/>
        <w:rPr>
          <w:rFonts w:ascii="Calibri" w:hAnsi="Calibri" w:cs="Calibri"/>
          <w:lang w:val="en-GB" w:eastAsia="en-US"/>
        </w:rPr>
      </w:pPr>
    </w:p>
    <w:p w14:paraId="1B9324E3" w14:textId="77777777" w:rsidR="00A84D8F" w:rsidRPr="00A84D8F" w:rsidRDefault="00A84D8F" w:rsidP="00A84D8F">
      <w:pPr>
        <w:jc w:val="both"/>
        <w:rPr>
          <w:rFonts w:ascii="Calibri" w:hAnsi="Calibri" w:cs="Calibri"/>
          <w:lang w:val="it-IT" w:eastAsia="en-US"/>
        </w:rPr>
      </w:pPr>
      <w:r w:rsidRPr="00A84D8F">
        <w:rPr>
          <w:rFonts w:ascii="Calibri" w:hAnsi="Calibri" w:cs="Calibri"/>
          <w:lang w:val="it-IT" w:eastAsia="en-US"/>
        </w:rPr>
        <w:t xml:space="preserve">La Commissione Europea e il programma Erasmus+ sottolineano l’importanza di una formazione permanente per insegnanti. Viene chiesto agli stati membri di supportare questo programma in modo che città, come ad esempio Berlino, inizino a programmare dei corsi di formazione obbligatori per insegnanti che permettano loro anche di ricevere punteggio. Si veda  </w:t>
      </w:r>
      <w:hyperlink r:id="rId8" w:history="1">
        <w:r w:rsidRPr="00A84D8F">
          <w:rPr>
            <w:rFonts w:ascii="Calibri" w:hAnsi="Calibri" w:cs="Calibri"/>
            <w:color w:val="0000FF"/>
            <w:u w:val="single"/>
            <w:lang w:val="it-IT"/>
          </w:rPr>
          <w:t>https://www.news4teachers.de/2017/07/fortbildungen-punktekonto-fuer-jeden-lehrer-und-die-schulleitung-solls-kontrollieren-gew-buerokratiemonster/</w:t>
        </w:r>
      </w:hyperlink>
      <w:r w:rsidRPr="00A84D8F">
        <w:rPr>
          <w:rFonts w:ascii="Calibri" w:hAnsi="Calibri" w:cs="Calibri"/>
          <w:lang w:val="it-IT" w:eastAsia="en-US"/>
        </w:rPr>
        <w:t xml:space="preserve"> .</w:t>
      </w:r>
    </w:p>
    <w:p w14:paraId="76FAD41B" w14:textId="77777777" w:rsidR="00A84D8F" w:rsidRPr="00A84D8F" w:rsidRDefault="00A84D8F" w:rsidP="00A84D8F">
      <w:pPr>
        <w:jc w:val="both"/>
        <w:rPr>
          <w:rFonts w:ascii="Calibri" w:hAnsi="Calibri" w:cs="Calibri"/>
          <w:lang w:val="it-IT" w:eastAsia="en-US"/>
        </w:rPr>
      </w:pPr>
      <w:r w:rsidRPr="00A84D8F">
        <w:rPr>
          <w:rFonts w:ascii="Calibri" w:hAnsi="Calibri" w:cs="Calibri"/>
          <w:lang w:val="it-IT" w:eastAsia="en-US"/>
        </w:rPr>
        <w:t xml:space="preserve">I programmi europei richiedono un arco temporale medio-lungo per essere realizzati negli stati membri, questo comporterà il fatto che gli insegnanti ancora in attività nei prossimi anni, faranno parte anch’essi dei programmi di strategia di apprendimento permanente promossi dall’Unione Europea.  </w:t>
      </w:r>
    </w:p>
    <w:p w14:paraId="0FA80021" w14:textId="77777777" w:rsidR="00A84D8F" w:rsidRPr="00A84D8F" w:rsidRDefault="00A84D8F" w:rsidP="00A84D8F">
      <w:pPr>
        <w:rPr>
          <w:rFonts w:ascii="Calibri" w:hAnsi="Calibri" w:cs="Calibri"/>
          <w:lang w:val="it-IT" w:eastAsia="en-US"/>
        </w:rPr>
      </w:pPr>
    </w:p>
    <w:p w14:paraId="3B19B041" w14:textId="77777777" w:rsidR="00A84D8F" w:rsidRPr="00A84D8F" w:rsidRDefault="00A84D8F" w:rsidP="00A84D8F">
      <w:pPr>
        <w:jc w:val="both"/>
        <w:rPr>
          <w:rFonts w:ascii="Calibri" w:hAnsi="Calibri" w:cs="Calibri"/>
          <w:lang w:val="it-IT" w:eastAsia="en-US"/>
        </w:rPr>
      </w:pPr>
    </w:p>
    <w:p w14:paraId="638B8547" w14:textId="44022C2C" w:rsidR="00A84D8F" w:rsidRDefault="00A84D8F" w:rsidP="00A84D8F">
      <w:pPr>
        <w:numPr>
          <w:ilvl w:val="0"/>
          <w:numId w:val="44"/>
        </w:numPr>
        <w:contextualSpacing/>
        <w:jc w:val="both"/>
        <w:rPr>
          <w:rFonts w:ascii="Calibri" w:hAnsi="Calibri" w:cs="Calibri"/>
          <w:lang w:val="en-GB" w:eastAsia="en-US"/>
        </w:rPr>
      </w:pPr>
      <w:proofErr w:type="spellStart"/>
      <w:r w:rsidRPr="00A84D8F">
        <w:rPr>
          <w:rFonts w:ascii="Calibri" w:hAnsi="Calibri" w:cs="Calibri"/>
          <w:lang w:val="en-GB" w:eastAsia="en-US"/>
        </w:rPr>
        <w:t>Approccio</w:t>
      </w:r>
      <w:proofErr w:type="spellEnd"/>
      <w:r w:rsidRPr="00A84D8F">
        <w:rPr>
          <w:rFonts w:ascii="Calibri" w:hAnsi="Calibri" w:cs="Calibri"/>
          <w:lang w:val="en-GB" w:eastAsia="en-US"/>
        </w:rPr>
        <w:t xml:space="preserve"> </w:t>
      </w:r>
      <w:proofErr w:type="spellStart"/>
      <w:r w:rsidRPr="00A84D8F">
        <w:rPr>
          <w:rFonts w:ascii="Calibri" w:hAnsi="Calibri" w:cs="Calibri"/>
          <w:lang w:val="en-GB" w:eastAsia="en-US"/>
        </w:rPr>
        <w:t>alla</w:t>
      </w:r>
      <w:proofErr w:type="spellEnd"/>
      <w:r w:rsidRPr="00A84D8F">
        <w:rPr>
          <w:rFonts w:ascii="Calibri" w:hAnsi="Calibri" w:cs="Calibri"/>
          <w:lang w:val="en-GB" w:eastAsia="en-US"/>
        </w:rPr>
        <w:t xml:space="preserve"> </w:t>
      </w:r>
      <w:proofErr w:type="spellStart"/>
      <w:r w:rsidRPr="00A84D8F">
        <w:rPr>
          <w:rFonts w:ascii="Calibri" w:hAnsi="Calibri" w:cs="Calibri"/>
          <w:lang w:val="en-GB" w:eastAsia="en-US"/>
        </w:rPr>
        <w:t>Certificazione</w:t>
      </w:r>
      <w:proofErr w:type="spellEnd"/>
      <w:r w:rsidRPr="00A84D8F">
        <w:rPr>
          <w:rFonts w:ascii="Calibri" w:hAnsi="Calibri" w:cs="Calibri"/>
          <w:lang w:val="en-GB" w:eastAsia="en-US"/>
        </w:rPr>
        <w:t>.</w:t>
      </w:r>
    </w:p>
    <w:p w14:paraId="22657EAF" w14:textId="77777777" w:rsidR="00A84D8F" w:rsidRPr="00A84D8F" w:rsidRDefault="00A84D8F" w:rsidP="00A84D8F">
      <w:pPr>
        <w:ind w:left="360"/>
        <w:contextualSpacing/>
        <w:jc w:val="both"/>
        <w:rPr>
          <w:rFonts w:ascii="Calibri" w:hAnsi="Calibri" w:cs="Calibri"/>
          <w:lang w:val="en-GB" w:eastAsia="en-US"/>
        </w:rPr>
      </w:pPr>
    </w:p>
    <w:p w14:paraId="72EE9092" w14:textId="77777777" w:rsidR="00A84D8F" w:rsidRPr="00C46B3E" w:rsidRDefault="00A84D8F" w:rsidP="00A84D8F">
      <w:pPr>
        <w:jc w:val="both"/>
        <w:rPr>
          <w:rFonts w:asciiTheme="minorHAnsi" w:hAnsiTheme="minorHAnsi" w:cstheme="minorHAnsi"/>
          <w:lang w:val="it-IT" w:eastAsia="en-US"/>
        </w:rPr>
      </w:pPr>
      <w:r w:rsidRPr="00C46B3E">
        <w:rPr>
          <w:rFonts w:asciiTheme="minorHAnsi" w:hAnsiTheme="minorHAnsi" w:cstheme="minorHAnsi"/>
          <w:lang w:val="it-IT" w:eastAsia="en-US"/>
        </w:rPr>
        <w:t>Il riconoscimento europeo richiede una certificazione basata su uno schema che sia comparabile per tutti. Ciò significa che gli insegnanti di tutte le regioni d’Europa saranno sottoposti allo stesso tipo di esame per valutare le medesime abilità e la certificazione sarà la stessa per tutti gli stati membri.</w:t>
      </w:r>
    </w:p>
    <w:p w14:paraId="452D23FB" w14:textId="77777777" w:rsidR="00A84D8F" w:rsidRPr="00C46B3E" w:rsidRDefault="00A84D8F" w:rsidP="00A84D8F">
      <w:pPr>
        <w:jc w:val="both"/>
        <w:rPr>
          <w:rFonts w:asciiTheme="minorHAnsi" w:hAnsiTheme="minorHAnsi" w:cstheme="minorHAnsi"/>
          <w:lang w:val="it-IT" w:eastAsia="en-US"/>
        </w:rPr>
      </w:pPr>
      <w:r w:rsidRPr="00C46B3E">
        <w:rPr>
          <w:rFonts w:asciiTheme="minorHAnsi" w:hAnsiTheme="minorHAnsi" w:cstheme="minorHAnsi"/>
          <w:lang w:val="it-IT" w:eastAsia="en-US"/>
        </w:rPr>
        <w:t>Per questo motivo, uno standard internazionale ISO 17024 per le certificazioni personali regola le modalità di organizzazione degli esami e dice che la parte degli esam</w:t>
      </w:r>
      <w:r>
        <w:rPr>
          <w:rFonts w:asciiTheme="minorHAnsi" w:hAnsiTheme="minorHAnsi" w:cstheme="minorHAnsi"/>
          <w:lang w:val="it-IT" w:eastAsia="en-US"/>
        </w:rPr>
        <w:t>i</w:t>
      </w:r>
      <w:r w:rsidRPr="00C46B3E">
        <w:rPr>
          <w:rFonts w:asciiTheme="minorHAnsi" w:hAnsiTheme="minorHAnsi" w:cstheme="minorHAnsi"/>
          <w:lang w:val="it-IT" w:eastAsia="en-US"/>
        </w:rPr>
        <w:t xml:space="preserve"> dovrebbe essere separata da quella dei corsi di formazione. Anche la piattaforma europea per la certificazione (per esempio l’ECQA </w:t>
      </w:r>
      <w:proofErr w:type="spellStart"/>
      <w:r w:rsidRPr="00C46B3E">
        <w:rPr>
          <w:rFonts w:asciiTheme="minorHAnsi" w:hAnsiTheme="minorHAnsi" w:cstheme="minorHAnsi"/>
          <w:lang w:val="it-IT" w:eastAsia="en-US"/>
        </w:rPr>
        <w:t>European</w:t>
      </w:r>
      <w:proofErr w:type="spellEnd"/>
      <w:r w:rsidRPr="00C46B3E">
        <w:rPr>
          <w:rFonts w:asciiTheme="minorHAnsi" w:hAnsiTheme="minorHAnsi" w:cstheme="minorHAnsi"/>
          <w:lang w:val="it-IT" w:eastAsia="en-US"/>
        </w:rPr>
        <w:t xml:space="preserve"> </w:t>
      </w:r>
      <w:proofErr w:type="spellStart"/>
      <w:r w:rsidRPr="00C46B3E">
        <w:rPr>
          <w:rFonts w:asciiTheme="minorHAnsi" w:hAnsiTheme="minorHAnsi" w:cstheme="minorHAnsi"/>
          <w:lang w:val="it-IT" w:eastAsia="en-US"/>
        </w:rPr>
        <w:t>Certification</w:t>
      </w:r>
      <w:proofErr w:type="spellEnd"/>
      <w:r w:rsidRPr="00C46B3E">
        <w:rPr>
          <w:rFonts w:asciiTheme="minorHAnsi" w:hAnsiTheme="minorHAnsi" w:cstheme="minorHAnsi"/>
          <w:lang w:val="it-IT" w:eastAsia="en-US"/>
        </w:rPr>
        <w:t xml:space="preserve"> and </w:t>
      </w:r>
      <w:proofErr w:type="spellStart"/>
      <w:r w:rsidRPr="00C46B3E">
        <w:rPr>
          <w:rFonts w:asciiTheme="minorHAnsi" w:hAnsiTheme="minorHAnsi" w:cstheme="minorHAnsi"/>
          <w:lang w:val="it-IT" w:eastAsia="en-US"/>
        </w:rPr>
        <w:t>Qualification</w:t>
      </w:r>
      <w:proofErr w:type="spellEnd"/>
      <w:r w:rsidRPr="00C46B3E">
        <w:rPr>
          <w:rFonts w:asciiTheme="minorHAnsi" w:hAnsiTheme="minorHAnsi" w:cstheme="minorHAnsi"/>
          <w:lang w:val="it-IT" w:eastAsia="en-US"/>
        </w:rPr>
        <w:t xml:space="preserve"> </w:t>
      </w:r>
      <w:proofErr w:type="spellStart"/>
      <w:r w:rsidRPr="00C46B3E">
        <w:rPr>
          <w:rFonts w:asciiTheme="minorHAnsi" w:hAnsiTheme="minorHAnsi" w:cstheme="minorHAnsi"/>
          <w:lang w:val="it-IT" w:eastAsia="en-US"/>
        </w:rPr>
        <w:t>Association</w:t>
      </w:r>
      <w:proofErr w:type="spellEnd"/>
      <w:r w:rsidRPr="00C46B3E">
        <w:rPr>
          <w:rFonts w:asciiTheme="minorHAnsi" w:hAnsiTheme="minorHAnsi" w:cstheme="minorHAnsi"/>
          <w:lang w:val="it-IT" w:eastAsia="en-US"/>
        </w:rPr>
        <w:t xml:space="preserve">) ha redatto gli esami e li ha mappati in base alla normativa ISO 17024. </w:t>
      </w:r>
    </w:p>
    <w:p w14:paraId="6FCA203C" w14:textId="77777777" w:rsidR="00A84D8F" w:rsidRPr="00C46B3E" w:rsidRDefault="00A84D8F" w:rsidP="00A84D8F">
      <w:pPr>
        <w:jc w:val="both"/>
        <w:rPr>
          <w:rFonts w:asciiTheme="minorHAnsi" w:hAnsiTheme="minorHAnsi" w:cstheme="minorHAnsi"/>
          <w:lang w:val="it-IT" w:eastAsia="en-US"/>
        </w:rPr>
      </w:pPr>
    </w:p>
    <w:p w14:paraId="384385A6" w14:textId="77777777" w:rsidR="00A84D8F" w:rsidRPr="00C46B3E" w:rsidRDefault="00A84D8F" w:rsidP="00A84D8F">
      <w:pPr>
        <w:jc w:val="both"/>
        <w:rPr>
          <w:rFonts w:asciiTheme="minorHAnsi" w:hAnsiTheme="minorHAnsi" w:cstheme="minorHAnsi"/>
          <w:lang w:val="it-IT" w:eastAsia="en-US"/>
        </w:rPr>
      </w:pPr>
      <w:r w:rsidRPr="00C46B3E">
        <w:rPr>
          <w:rFonts w:asciiTheme="minorHAnsi" w:hAnsiTheme="minorHAnsi" w:cstheme="minorHAnsi"/>
          <w:lang w:val="it-IT" w:eastAsia="en-US"/>
        </w:rPr>
        <w:t>In ELIC è stato adottato il Sistema di certificazione ECQA (aggiornamento dei programmi software di ECQA) per supportare gli esami e la certificazione basati su MOOC. I partecipanti possono registrarsi, sostenere l’esame e l’attestato verrà generato e mandato alla persona via e</w:t>
      </w:r>
      <w:r>
        <w:rPr>
          <w:rFonts w:asciiTheme="minorHAnsi" w:hAnsiTheme="minorHAnsi" w:cstheme="minorHAnsi"/>
          <w:lang w:val="it-IT" w:eastAsia="en-US"/>
        </w:rPr>
        <w:t>-</w:t>
      </w:r>
      <w:r w:rsidRPr="00C46B3E">
        <w:rPr>
          <w:rFonts w:asciiTheme="minorHAnsi" w:hAnsiTheme="minorHAnsi" w:cstheme="minorHAnsi"/>
          <w:lang w:val="it-IT" w:eastAsia="en-US"/>
        </w:rPr>
        <w:t xml:space="preserve">mail. </w:t>
      </w:r>
    </w:p>
    <w:p w14:paraId="116B01DB" w14:textId="2AB9CC3A" w:rsidR="00A84D8F" w:rsidRDefault="00A84D8F" w:rsidP="00A84D8F">
      <w:pPr>
        <w:jc w:val="both"/>
        <w:rPr>
          <w:rFonts w:asciiTheme="minorHAnsi" w:hAnsiTheme="minorHAnsi" w:cstheme="minorHAnsi"/>
          <w:lang w:val="it-IT" w:eastAsia="en-US"/>
        </w:rPr>
      </w:pPr>
    </w:p>
    <w:p w14:paraId="34DC9FF1" w14:textId="0EF0B659" w:rsidR="00A84D8F" w:rsidRDefault="00A84D8F" w:rsidP="00A84D8F">
      <w:pPr>
        <w:jc w:val="both"/>
        <w:rPr>
          <w:rFonts w:asciiTheme="minorHAnsi" w:hAnsiTheme="minorHAnsi" w:cstheme="minorHAnsi"/>
          <w:lang w:val="it-IT" w:eastAsia="en-US"/>
        </w:rPr>
      </w:pPr>
    </w:p>
    <w:p w14:paraId="439026FC" w14:textId="0C34634C" w:rsidR="00A84D8F" w:rsidRDefault="00A84D8F" w:rsidP="00A84D8F">
      <w:pPr>
        <w:jc w:val="both"/>
        <w:rPr>
          <w:rFonts w:asciiTheme="minorHAnsi" w:hAnsiTheme="minorHAnsi" w:cstheme="minorHAnsi"/>
          <w:lang w:val="it-IT" w:eastAsia="en-US"/>
        </w:rPr>
      </w:pPr>
    </w:p>
    <w:p w14:paraId="50D2149A" w14:textId="266D486A" w:rsidR="00A84D8F" w:rsidRDefault="00A84D8F" w:rsidP="00A84D8F">
      <w:pPr>
        <w:jc w:val="both"/>
        <w:rPr>
          <w:rFonts w:asciiTheme="minorHAnsi" w:hAnsiTheme="minorHAnsi" w:cstheme="minorHAnsi"/>
          <w:lang w:val="it-IT" w:eastAsia="en-US"/>
        </w:rPr>
      </w:pPr>
    </w:p>
    <w:p w14:paraId="497FD6A2" w14:textId="77777777" w:rsidR="00A84D8F" w:rsidRPr="00C46B3E" w:rsidRDefault="00A84D8F" w:rsidP="00A84D8F">
      <w:pPr>
        <w:jc w:val="both"/>
        <w:rPr>
          <w:rFonts w:asciiTheme="minorHAnsi" w:hAnsiTheme="minorHAnsi" w:cstheme="minorHAnsi"/>
          <w:lang w:val="it-IT" w:eastAsia="en-US"/>
        </w:rPr>
      </w:pPr>
    </w:p>
    <w:p w14:paraId="5132EC26" w14:textId="4859F3AC" w:rsidR="00A84D8F" w:rsidRDefault="00A84D8F" w:rsidP="00A84D8F">
      <w:pPr>
        <w:pStyle w:val="Listenabsatz"/>
        <w:numPr>
          <w:ilvl w:val="0"/>
          <w:numId w:val="44"/>
        </w:numPr>
        <w:tabs>
          <w:tab w:val="left" w:pos="6086"/>
        </w:tabs>
        <w:jc w:val="both"/>
        <w:rPr>
          <w:rFonts w:asciiTheme="minorHAnsi" w:hAnsiTheme="minorHAnsi" w:cstheme="minorHAnsi"/>
          <w:szCs w:val="22"/>
          <w:lang w:val="en-GB" w:eastAsia="en-US"/>
        </w:rPr>
      </w:pPr>
      <w:proofErr w:type="spellStart"/>
      <w:r>
        <w:rPr>
          <w:rFonts w:asciiTheme="minorHAnsi" w:hAnsiTheme="minorHAnsi" w:cstheme="minorHAnsi"/>
          <w:szCs w:val="22"/>
          <w:lang w:val="en-GB" w:eastAsia="en-US"/>
        </w:rPr>
        <w:lastRenderedPageBreak/>
        <w:t>Valenza</w:t>
      </w:r>
      <w:proofErr w:type="spellEnd"/>
      <w:r>
        <w:rPr>
          <w:rFonts w:asciiTheme="minorHAnsi" w:hAnsiTheme="minorHAnsi" w:cstheme="minorHAnsi"/>
          <w:szCs w:val="22"/>
          <w:lang w:val="en-GB" w:eastAsia="en-US"/>
        </w:rPr>
        <w:t xml:space="preserve"> del </w:t>
      </w:r>
      <w:proofErr w:type="spellStart"/>
      <w:r>
        <w:rPr>
          <w:rFonts w:asciiTheme="minorHAnsi" w:hAnsiTheme="minorHAnsi" w:cstheme="minorHAnsi"/>
          <w:szCs w:val="22"/>
          <w:lang w:val="en-GB" w:eastAsia="en-US"/>
        </w:rPr>
        <w:t>Certificato</w:t>
      </w:r>
      <w:proofErr w:type="spellEnd"/>
      <w:r>
        <w:rPr>
          <w:rFonts w:asciiTheme="minorHAnsi" w:hAnsiTheme="minorHAnsi" w:cstheme="minorHAnsi"/>
          <w:szCs w:val="22"/>
          <w:lang w:val="en-GB" w:eastAsia="en-US"/>
        </w:rPr>
        <w:t>.</w:t>
      </w:r>
    </w:p>
    <w:p w14:paraId="3DE5D9C3" w14:textId="77777777" w:rsidR="00A84D8F" w:rsidRDefault="00A84D8F" w:rsidP="00A84D8F">
      <w:pPr>
        <w:pStyle w:val="Listenabsatz"/>
        <w:tabs>
          <w:tab w:val="left" w:pos="6086"/>
        </w:tabs>
        <w:ind w:left="360"/>
        <w:jc w:val="both"/>
        <w:rPr>
          <w:rFonts w:asciiTheme="minorHAnsi" w:hAnsiTheme="minorHAnsi" w:cstheme="minorHAnsi"/>
          <w:szCs w:val="22"/>
          <w:lang w:val="en-GB" w:eastAsia="en-US"/>
        </w:rPr>
      </w:pPr>
    </w:p>
    <w:p w14:paraId="2081822F" w14:textId="77777777"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ECQA fornisce un certificato che si basa sulle linee guida ISO 17024 ed è lo stesso per tutti gli stati europei. I certificati ECQA sono già stati utilizzati in varie circostanze (</w:t>
      </w:r>
      <w:proofErr w:type="spellStart"/>
      <w:r w:rsidRPr="00C46B3E">
        <w:rPr>
          <w:rFonts w:asciiTheme="minorHAnsi" w:hAnsiTheme="minorHAnsi" w:cstheme="minorHAnsi"/>
          <w:szCs w:val="22"/>
          <w:lang w:val="it-IT" w:eastAsia="en-US"/>
        </w:rPr>
        <w:t>Certified</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Terminology</w:t>
      </w:r>
      <w:proofErr w:type="spellEnd"/>
      <w:r w:rsidRPr="00C46B3E">
        <w:rPr>
          <w:rFonts w:asciiTheme="minorHAnsi" w:hAnsiTheme="minorHAnsi" w:cstheme="minorHAnsi"/>
          <w:szCs w:val="22"/>
          <w:lang w:val="it-IT" w:eastAsia="en-US"/>
        </w:rPr>
        <w:t xml:space="preserve"> Manager for </w:t>
      </w:r>
      <w:proofErr w:type="spellStart"/>
      <w:r w:rsidRPr="00C46B3E">
        <w:rPr>
          <w:rFonts w:asciiTheme="minorHAnsi" w:hAnsiTheme="minorHAnsi" w:cstheme="minorHAnsi"/>
          <w:szCs w:val="22"/>
          <w:lang w:val="it-IT" w:eastAsia="en-US"/>
        </w:rPr>
        <w:t>all</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translators</w:t>
      </w:r>
      <w:proofErr w:type="spellEnd"/>
      <w:r w:rsidRPr="00C46B3E">
        <w:rPr>
          <w:rFonts w:asciiTheme="minorHAnsi" w:hAnsiTheme="minorHAnsi" w:cstheme="minorHAnsi"/>
          <w:szCs w:val="22"/>
          <w:lang w:val="it-IT" w:eastAsia="en-US"/>
        </w:rPr>
        <w:t xml:space="preserve"> in the </w:t>
      </w:r>
      <w:proofErr w:type="spellStart"/>
      <w:r w:rsidRPr="00C46B3E">
        <w:rPr>
          <w:rFonts w:asciiTheme="minorHAnsi" w:hAnsiTheme="minorHAnsi" w:cstheme="minorHAnsi"/>
          <w:szCs w:val="22"/>
          <w:lang w:val="it-IT" w:eastAsia="en-US"/>
        </w:rPr>
        <w:t>European</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Commission</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Certified</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functional</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safety</w:t>
      </w:r>
      <w:proofErr w:type="spellEnd"/>
      <w:r w:rsidRPr="00C46B3E">
        <w:rPr>
          <w:rFonts w:asciiTheme="minorHAnsi" w:hAnsiTheme="minorHAnsi" w:cstheme="minorHAnsi"/>
          <w:szCs w:val="22"/>
          <w:lang w:val="it-IT" w:eastAsia="en-US"/>
        </w:rPr>
        <w:t xml:space="preserve"> manager for </w:t>
      </w:r>
      <w:proofErr w:type="spellStart"/>
      <w:r w:rsidRPr="00C46B3E">
        <w:rPr>
          <w:rFonts w:asciiTheme="minorHAnsi" w:hAnsiTheme="minorHAnsi" w:cstheme="minorHAnsi"/>
          <w:szCs w:val="22"/>
          <w:lang w:val="it-IT" w:eastAsia="en-US"/>
        </w:rPr>
        <w:t>lead</w:t>
      </w:r>
      <w:proofErr w:type="spellEnd"/>
      <w:r w:rsidRPr="00C46B3E">
        <w:rPr>
          <w:rFonts w:asciiTheme="minorHAnsi" w:hAnsiTheme="minorHAnsi" w:cstheme="minorHAnsi"/>
          <w:szCs w:val="22"/>
          <w:lang w:val="it-IT" w:eastAsia="en-US"/>
        </w:rPr>
        <w:t xml:space="preserve"> Automotive </w:t>
      </w:r>
      <w:proofErr w:type="spellStart"/>
      <w:r w:rsidRPr="00C46B3E">
        <w:rPr>
          <w:rFonts w:asciiTheme="minorHAnsi" w:hAnsiTheme="minorHAnsi" w:cstheme="minorHAnsi"/>
          <w:szCs w:val="22"/>
          <w:lang w:val="it-IT" w:eastAsia="en-US"/>
        </w:rPr>
        <w:t>industry</w:t>
      </w:r>
      <w:proofErr w:type="spellEnd"/>
      <w:r w:rsidRPr="00C46B3E">
        <w:rPr>
          <w:rFonts w:asciiTheme="minorHAnsi" w:hAnsiTheme="minorHAnsi" w:cstheme="minorHAnsi"/>
          <w:szCs w:val="22"/>
          <w:lang w:val="it-IT" w:eastAsia="en-US"/>
        </w:rPr>
        <w:t xml:space="preserve">, innovative </w:t>
      </w:r>
      <w:proofErr w:type="spellStart"/>
      <w:r w:rsidRPr="00C46B3E">
        <w:rPr>
          <w:rFonts w:asciiTheme="minorHAnsi" w:hAnsiTheme="minorHAnsi" w:cstheme="minorHAnsi"/>
          <w:szCs w:val="22"/>
          <w:lang w:val="it-IT" w:eastAsia="en-US"/>
        </w:rPr>
        <w:t>teacher</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certificates</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issued</w:t>
      </w:r>
      <w:proofErr w:type="spellEnd"/>
      <w:r w:rsidRPr="00C46B3E">
        <w:rPr>
          <w:rFonts w:asciiTheme="minorHAnsi" w:hAnsiTheme="minorHAnsi" w:cstheme="minorHAnsi"/>
          <w:szCs w:val="22"/>
          <w:lang w:val="it-IT" w:eastAsia="en-US"/>
        </w:rPr>
        <w:t xml:space="preserve"> in Austria, </w:t>
      </w:r>
      <w:proofErr w:type="spellStart"/>
      <w:r w:rsidRPr="00C46B3E">
        <w:rPr>
          <w:rFonts w:asciiTheme="minorHAnsi" w:hAnsiTheme="minorHAnsi" w:cstheme="minorHAnsi"/>
          <w:szCs w:val="22"/>
          <w:lang w:val="it-IT" w:eastAsia="en-US"/>
        </w:rPr>
        <w:t>Hungary</w:t>
      </w:r>
      <w:proofErr w:type="spellEnd"/>
      <w:r w:rsidRPr="00C46B3E">
        <w:rPr>
          <w:rFonts w:asciiTheme="minorHAnsi" w:hAnsiTheme="minorHAnsi" w:cstheme="minorHAnsi"/>
          <w:szCs w:val="22"/>
          <w:lang w:val="it-IT" w:eastAsia="en-US"/>
        </w:rPr>
        <w:t xml:space="preserve">, </w:t>
      </w:r>
      <w:proofErr w:type="spellStart"/>
      <w:r w:rsidRPr="00C46B3E">
        <w:rPr>
          <w:rFonts w:asciiTheme="minorHAnsi" w:hAnsiTheme="minorHAnsi" w:cstheme="minorHAnsi"/>
          <w:szCs w:val="22"/>
          <w:lang w:val="it-IT" w:eastAsia="en-US"/>
        </w:rPr>
        <w:t>Solvenia</w:t>
      </w:r>
      <w:proofErr w:type="spellEnd"/>
      <w:r w:rsidRPr="00C46B3E">
        <w:rPr>
          <w:rFonts w:asciiTheme="minorHAnsi" w:hAnsiTheme="minorHAnsi" w:cstheme="minorHAnsi"/>
          <w:szCs w:val="22"/>
          <w:lang w:val="it-IT" w:eastAsia="en-US"/>
        </w:rPr>
        <w:t>, etc.).</w:t>
      </w:r>
    </w:p>
    <w:p w14:paraId="00811BB6" w14:textId="5E821A11" w:rsidR="00A84D8F" w:rsidRDefault="00A84D8F" w:rsidP="00A84D8F">
      <w:pPr>
        <w:tabs>
          <w:tab w:val="left" w:pos="6086"/>
        </w:tabs>
        <w:jc w:val="both"/>
        <w:rPr>
          <w:rFonts w:asciiTheme="minorHAnsi" w:hAnsiTheme="minorHAnsi" w:cstheme="minorHAnsi"/>
          <w:szCs w:val="22"/>
          <w:lang w:val="it-IT" w:eastAsia="en-US"/>
        </w:rPr>
      </w:pPr>
      <w:bookmarkStart w:id="0" w:name="_GoBack"/>
      <w:bookmarkEnd w:id="0"/>
    </w:p>
    <w:p w14:paraId="7410BFFA"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41A1BE23" w14:textId="77777777" w:rsidR="00A84D8F" w:rsidRDefault="00A84D8F" w:rsidP="00A84D8F">
      <w:pPr>
        <w:pStyle w:val="Listenabsatz"/>
        <w:numPr>
          <w:ilvl w:val="0"/>
          <w:numId w:val="44"/>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Come </w:t>
      </w:r>
      <w:proofErr w:type="spellStart"/>
      <w:r>
        <w:rPr>
          <w:rFonts w:asciiTheme="minorHAnsi" w:hAnsiTheme="minorHAnsi" w:cstheme="minorHAnsi"/>
          <w:szCs w:val="22"/>
          <w:lang w:val="en-GB" w:eastAsia="en-US"/>
        </w:rPr>
        <w:t>accedere</w:t>
      </w:r>
      <w:proofErr w:type="spellEnd"/>
    </w:p>
    <w:p w14:paraId="75081B8E" w14:textId="77777777" w:rsidR="00A84D8F" w:rsidRDefault="00A84D8F" w:rsidP="00A84D8F">
      <w:pPr>
        <w:tabs>
          <w:tab w:val="left" w:pos="6086"/>
        </w:tabs>
        <w:jc w:val="both"/>
        <w:rPr>
          <w:rFonts w:asciiTheme="minorHAnsi" w:hAnsiTheme="minorHAnsi" w:cstheme="minorHAnsi"/>
          <w:szCs w:val="22"/>
          <w:lang w:val="en-GB" w:eastAsia="en-US"/>
        </w:rPr>
      </w:pPr>
    </w:p>
    <w:p w14:paraId="0EB4D4E5" w14:textId="35DFE43C"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Per registrarsi all’esame e per lo svolgimento dello stesso, collegarsi a:</w:t>
      </w:r>
    </w:p>
    <w:p w14:paraId="4A57FC01" w14:textId="77777777" w:rsidR="00A84D8F" w:rsidRPr="00C46B3E" w:rsidRDefault="00CA36D9" w:rsidP="00A84D8F">
      <w:pPr>
        <w:tabs>
          <w:tab w:val="left" w:pos="6086"/>
        </w:tabs>
        <w:jc w:val="both"/>
        <w:rPr>
          <w:rFonts w:asciiTheme="minorHAnsi" w:hAnsiTheme="minorHAnsi" w:cstheme="minorHAnsi"/>
          <w:szCs w:val="22"/>
          <w:lang w:val="it-IT" w:eastAsia="en-US"/>
        </w:rPr>
      </w:pPr>
      <w:hyperlink r:id="rId9" w:history="1">
        <w:r w:rsidR="00A84D8F" w:rsidRPr="00C46B3E">
          <w:rPr>
            <w:rStyle w:val="Hyperlink"/>
            <w:rFonts w:asciiTheme="minorHAnsi" w:hAnsiTheme="minorHAnsi" w:cstheme="minorHAnsi"/>
            <w:szCs w:val="22"/>
            <w:lang w:val="it-IT" w:eastAsia="en-US"/>
          </w:rPr>
          <w:t>https://www.ecqa.org/index.php?id=58&amp;domain_id=123&amp;organisation_id=191</w:t>
        </w:r>
      </w:hyperlink>
      <w:r w:rsidR="00A84D8F" w:rsidRPr="00C46B3E">
        <w:rPr>
          <w:rFonts w:asciiTheme="minorHAnsi" w:hAnsiTheme="minorHAnsi" w:cstheme="minorHAnsi"/>
          <w:szCs w:val="22"/>
          <w:lang w:val="it-IT" w:eastAsia="en-US"/>
        </w:rPr>
        <w:t xml:space="preserve"> </w:t>
      </w:r>
    </w:p>
    <w:p w14:paraId="2C6B8FA7" w14:textId="694395D4" w:rsidR="00A84D8F" w:rsidRDefault="00A84D8F" w:rsidP="00A84D8F">
      <w:pPr>
        <w:tabs>
          <w:tab w:val="left" w:pos="6086"/>
        </w:tabs>
        <w:jc w:val="both"/>
        <w:rPr>
          <w:rFonts w:asciiTheme="minorHAnsi" w:hAnsiTheme="minorHAnsi" w:cstheme="minorHAnsi"/>
          <w:szCs w:val="22"/>
          <w:lang w:val="it-IT" w:eastAsia="en-US"/>
        </w:rPr>
      </w:pPr>
    </w:p>
    <w:p w14:paraId="60D7E385"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3572B29D" w14:textId="77777777" w:rsidR="00A84D8F" w:rsidRPr="00C46B3E" w:rsidRDefault="00A84D8F" w:rsidP="00A84D8F">
      <w:pPr>
        <w:pStyle w:val="Listenabsatz"/>
        <w:numPr>
          <w:ilvl w:val="0"/>
          <w:numId w:val="44"/>
        </w:num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Hai bisogno di un certificato?</w:t>
      </w:r>
    </w:p>
    <w:p w14:paraId="0C3B0CAD"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506201F1" w14:textId="77777777"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 xml:space="preserve">Le leggi dei Paesi europei sono ancora diverse tra loro. </w:t>
      </w:r>
    </w:p>
    <w:p w14:paraId="5AF16420"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799AF6D7" w14:textId="77777777"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 xml:space="preserve">La legge in Austria (fino al 2019) prevede che l’apprendimento permanente sia obbligatorio solo per gli insegnanti della scuola secondaria e non per quelli del ginnasio. </w:t>
      </w:r>
    </w:p>
    <w:p w14:paraId="48FC806E" w14:textId="77777777"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In Germania esiste una normativa generale che dice che tutti gli insegnanti necessitano di una formazione continua e alcune città (come ad esempio Berlino) hanno iniziato ad attuarla.</w:t>
      </w:r>
    </w:p>
    <w:p w14:paraId="19D7CC36"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06C1FBB4" w14:textId="77777777" w:rsidR="00A84D8F" w:rsidRPr="00C46B3E" w:rsidRDefault="00A84D8F" w:rsidP="00A84D8F">
      <w:pPr>
        <w:tabs>
          <w:tab w:val="left" w:pos="6086"/>
        </w:tabs>
        <w:jc w:val="both"/>
        <w:rPr>
          <w:rFonts w:asciiTheme="minorHAnsi" w:hAnsiTheme="minorHAnsi" w:cstheme="minorHAnsi"/>
          <w:szCs w:val="22"/>
          <w:lang w:val="it-IT" w:eastAsia="en-US"/>
        </w:rPr>
      </w:pPr>
      <w:r w:rsidRPr="00C46B3E">
        <w:rPr>
          <w:rFonts w:asciiTheme="minorHAnsi" w:hAnsiTheme="minorHAnsi" w:cstheme="minorHAnsi"/>
          <w:szCs w:val="22"/>
          <w:lang w:val="it-IT" w:eastAsia="en-US"/>
        </w:rPr>
        <w:t xml:space="preserve">Il Trattato Europeo di Lisbona (2010) chiede agli Stati membri di lavorare ai programmi di formazione continua per insegnanti e di lasciarne il controllo agli stati nazionali. Questo significa effettivamente che è libero arbitrio dell’insegnante fare l’esame e ricevere un certificato.  </w:t>
      </w:r>
    </w:p>
    <w:p w14:paraId="5AE1D1D3"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243B76A7"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1843A6D5"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7663FBC3"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74BE657E" w14:textId="77777777" w:rsidR="00A84D8F" w:rsidRPr="00C46B3E" w:rsidRDefault="00A84D8F" w:rsidP="00A84D8F">
      <w:pPr>
        <w:tabs>
          <w:tab w:val="left" w:pos="6086"/>
        </w:tabs>
        <w:jc w:val="both"/>
        <w:rPr>
          <w:rFonts w:asciiTheme="minorHAnsi" w:hAnsiTheme="minorHAnsi" w:cstheme="minorHAnsi"/>
          <w:szCs w:val="22"/>
          <w:lang w:val="it-IT" w:eastAsia="en-US"/>
        </w:rPr>
      </w:pPr>
    </w:p>
    <w:p w14:paraId="47488424" w14:textId="77777777" w:rsidR="00A84D8F" w:rsidRDefault="00A84D8F" w:rsidP="00A84D8F">
      <w:pPr>
        <w:jc w:val="both"/>
      </w:pPr>
    </w:p>
    <w:p w14:paraId="719F0666" w14:textId="77777777" w:rsidR="00A84D8F" w:rsidRPr="00A84D8F" w:rsidRDefault="00A84D8F" w:rsidP="00B96F5A">
      <w:pPr>
        <w:tabs>
          <w:tab w:val="left" w:pos="6086"/>
        </w:tabs>
        <w:jc w:val="both"/>
        <w:rPr>
          <w:rFonts w:asciiTheme="minorHAnsi" w:hAnsiTheme="minorHAnsi" w:cstheme="minorHAnsi"/>
          <w:sz w:val="22"/>
          <w:szCs w:val="22"/>
          <w:lang w:eastAsia="en-US"/>
        </w:rPr>
      </w:pPr>
    </w:p>
    <w:sectPr w:rsidR="00A84D8F" w:rsidRPr="00A84D8F" w:rsidSect="0092748C">
      <w:headerReference w:type="default" r:id="rId10"/>
      <w:footerReference w:type="default" r:id="rId11"/>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0"/>
  </w:num>
  <w:num w:numId="4">
    <w:abstractNumId w:val="25"/>
  </w:num>
  <w:num w:numId="5">
    <w:abstractNumId w:val="2"/>
  </w:num>
  <w:num w:numId="6">
    <w:abstractNumId w:val="4"/>
  </w:num>
  <w:num w:numId="7">
    <w:abstractNumId w:val="22"/>
  </w:num>
  <w:num w:numId="8">
    <w:abstractNumId w:val="15"/>
  </w:num>
  <w:num w:numId="9">
    <w:abstractNumId w:val="12"/>
  </w:num>
  <w:num w:numId="10">
    <w:abstractNumId w:val="41"/>
  </w:num>
  <w:num w:numId="11">
    <w:abstractNumId w:val="27"/>
  </w:num>
  <w:num w:numId="12">
    <w:abstractNumId w:val="18"/>
  </w:num>
  <w:num w:numId="13">
    <w:abstractNumId w:val="28"/>
  </w:num>
  <w:num w:numId="14">
    <w:abstractNumId w:val="38"/>
  </w:num>
  <w:num w:numId="15">
    <w:abstractNumId w:val="19"/>
  </w:num>
  <w:num w:numId="16">
    <w:abstractNumId w:val="20"/>
  </w:num>
  <w:num w:numId="17">
    <w:abstractNumId w:val="36"/>
  </w:num>
  <w:num w:numId="18">
    <w:abstractNumId w:val="17"/>
  </w:num>
  <w:num w:numId="19">
    <w:abstractNumId w:val="37"/>
  </w:num>
  <w:num w:numId="20">
    <w:abstractNumId w:val="34"/>
  </w:num>
  <w:num w:numId="21">
    <w:abstractNumId w:val="7"/>
  </w:num>
  <w:num w:numId="22">
    <w:abstractNumId w:val="23"/>
  </w:num>
  <w:num w:numId="23">
    <w:abstractNumId w:val="31"/>
  </w:num>
  <w:num w:numId="24">
    <w:abstractNumId w:val="16"/>
  </w:num>
  <w:num w:numId="25">
    <w:abstractNumId w:val="35"/>
  </w:num>
  <w:num w:numId="26">
    <w:abstractNumId w:val="32"/>
  </w:num>
  <w:num w:numId="27">
    <w:abstractNumId w:val="5"/>
  </w:num>
  <w:num w:numId="28">
    <w:abstractNumId w:val="9"/>
  </w:num>
  <w:num w:numId="29">
    <w:abstractNumId w:val="6"/>
  </w:num>
  <w:num w:numId="30">
    <w:abstractNumId w:val="10"/>
  </w:num>
  <w:num w:numId="31">
    <w:abstractNumId w:val="29"/>
  </w:num>
  <w:num w:numId="32">
    <w:abstractNumId w:val="14"/>
  </w:num>
  <w:num w:numId="33">
    <w:abstractNumId w:val="24"/>
  </w:num>
  <w:num w:numId="34">
    <w:abstractNumId w:val="3"/>
  </w:num>
  <w:num w:numId="35">
    <w:abstractNumId w:val="30"/>
  </w:num>
  <w:num w:numId="36">
    <w:abstractNumId w:val="33"/>
  </w:num>
  <w:num w:numId="37">
    <w:abstractNumId w:val="21"/>
  </w:num>
  <w:num w:numId="38">
    <w:abstractNumId w:val="39"/>
  </w:num>
  <w:num w:numId="39">
    <w:abstractNumId w:val="26"/>
  </w:num>
  <w:num w:numId="40">
    <w:abstractNumId w:val="1"/>
  </w:num>
  <w:num w:numId="41">
    <w:abstractNumId w:val="11"/>
  </w:num>
  <w:num w:numId="42">
    <w:abstractNumId w:val="21"/>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42C4"/>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84D8F"/>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A36D9"/>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69D8"/>
    <w:rsid w:val="00F677BB"/>
    <w:rsid w:val="00F717E4"/>
    <w:rsid w:val="00F72C75"/>
    <w:rsid w:val="00F7627B"/>
    <w:rsid w:val="00F83C1B"/>
    <w:rsid w:val="00F9153C"/>
    <w:rsid w:val="00F978A0"/>
    <w:rsid w:val="00FA4D28"/>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8536">
      <w:bodyDiv w:val="1"/>
      <w:marLeft w:val="0"/>
      <w:marRight w:val="0"/>
      <w:marTop w:val="0"/>
      <w:marBottom w:val="0"/>
      <w:divBdr>
        <w:top w:val="none" w:sz="0" w:space="0" w:color="auto"/>
        <w:left w:val="none" w:sz="0" w:space="0" w:color="auto"/>
        <w:bottom w:val="none" w:sz="0" w:space="0" w:color="auto"/>
        <w:right w:val="none" w:sz="0" w:space="0" w:color="auto"/>
      </w:divBdr>
    </w:div>
    <w:div w:id="544803112">
      <w:bodyDiv w:val="1"/>
      <w:marLeft w:val="0"/>
      <w:marRight w:val="0"/>
      <w:marTop w:val="0"/>
      <w:marBottom w:val="0"/>
      <w:divBdr>
        <w:top w:val="none" w:sz="0" w:space="0" w:color="auto"/>
        <w:left w:val="none" w:sz="0" w:space="0" w:color="auto"/>
        <w:bottom w:val="none" w:sz="0" w:space="0" w:color="auto"/>
        <w:right w:val="none" w:sz="0" w:space="0" w:color="auto"/>
      </w:divBdr>
    </w:div>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4teachers.de/2017/07/fortbildungen-punktekonto-fuer-jeden-lehrer-und-die-schulleitung-solls-kontrollieren-gew-buerokratiemon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qa.org/index.php?id=58&amp;domain_id=123&amp;organisation_id=1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4B0E93F0-D4A9-493F-BC47-2E74F50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2019-09-29T18:16:00Z</dcterms:created>
  <dcterms:modified xsi:type="dcterms:W3CDTF">2019-09-29T18:44:00Z</dcterms:modified>
</cp:coreProperties>
</file>