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4501" w14:textId="7398E65E" w:rsidR="0048228F" w:rsidRPr="001F58C4" w:rsidRDefault="00094C8B" w:rsidP="00A21454">
      <w:pPr>
        <w:shd w:val="clear" w:color="auto" w:fill="92CDDC" w:themeFill="accent5" w:themeFillTint="99"/>
        <w:jc w:val="both"/>
        <w:rPr>
          <w:rFonts w:asciiTheme="minorHAnsi" w:hAnsiTheme="minorHAnsi" w:cstheme="minorHAnsi"/>
          <w:b/>
          <w:smallCaps/>
          <w:sz w:val="40"/>
          <w:szCs w:val="22"/>
          <w:lang w:val="en-US"/>
        </w:rPr>
      </w:pPr>
      <w:proofErr w:type="spellStart"/>
      <w:r w:rsidRPr="001F58C4">
        <w:rPr>
          <w:rFonts w:asciiTheme="minorHAnsi" w:hAnsiTheme="minorHAnsi" w:cstheme="minorHAnsi"/>
          <w:b/>
          <w:smallCaps/>
          <w:sz w:val="40"/>
          <w:szCs w:val="22"/>
          <w:lang w:val="en-US"/>
        </w:rPr>
        <w:t>Sommario</w:t>
      </w:r>
      <w:proofErr w:type="spellEnd"/>
    </w:p>
    <w:p w14:paraId="23631686" w14:textId="77777777" w:rsidR="003A7308" w:rsidRPr="001F58C4" w:rsidRDefault="003A7308" w:rsidP="00A21454">
      <w:pPr>
        <w:jc w:val="both"/>
        <w:rPr>
          <w:rFonts w:asciiTheme="minorHAnsi" w:hAnsiTheme="minorHAnsi" w:cstheme="minorHAnsi"/>
          <w:szCs w:val="22"/>
          <w:lang w:val="en-US" w:eastAsia="en-US"/>
        </w:rPr>
      </w:pPr>
    </w:p>
    <w:p w14:paraId="5120E8C0" w14:textId="2BF7C6C8" w:rsidR="00094C8B" w:rsidRDefault="001F58C4" w:rsidP="00A21454">
      <w:pPr>
        <w:jc w:val="both"/>
        <w:rPr>
          <w:rFonts w:asciiTheme="minorHAnsi" w:hAnsiTheme="minorHAnsi" w:cstheme="minorHAnsi"/>
          <w:b/>
          <w:sz w:val="28"/>
          <w:szCs w:val="22"/>
          <w:lang w:val="en-US" w:eastAsia="en-US"/>
        </w:rPr>
      </w:pPr>
      <w:r>
        <w:rPr>
          <w:rFonts w:asciiTheme="minorHAnsi" w:hAnsiTheme="minorHAnsi" w:cstheme="minorHAnsi"/>
          <w:b/>
          <w:sz w:val="28"/>
          <w:szCs w:val="22"/>
          <w:lang w:val="en-US" w:eastAsia="en-US"/>
        </w:rPr>
        <w:t>MOOC – 2A SETTIMANA:</w:t>
      </w:r>
      <w:r w:rsidRPr="001F58C4">
        <w:rPr>
          <w:rFonts w:asciiTheme="minorHAnsi" w:hAnsiTheme="minorHAnsi" w:cstheme="minorHAnsi"/>
          <w:b/>
          <w:sz w:val="28"/>
          <w:szCs w:val="22"/>
          <w:lang w:val="en-US" w:eastAsia="en-US"/>
        </w:rPr>
        <w:t xml:space="preserve"> SISTEMI DI BATTERIA &amp; DI ILLUMINAZIONE</w:t>
      </w:r>
    </w:p>
    <w:p w14:paraId="59726968" w14:textId="5F902639" w:rsidR="00C77397" w:rsidRDefault="00C77397" w:rsidP="00B96F5A">
      <w:pPr>
        <w:tabs>
          <w:tab w:val="left" w:pos="6086"/>
        </w:tabs>
        <w:jc w:val="both"/>
        <w:rPr>
          <w:rFonts w:asciiTheme="minorHAnsi" w:hAnsiTheme="minorHAnsi" w:cstheme="minorHAnsi"/>
          <w:sz w:val="22"/>
          <w:szCs w:val="22"/>
          <w:lang w:val="de-DE" w:eastAsia="en-US"/>
        </w:rPr>
      </w:pPr>
    </w:p>
    <w:p w14:paraId="43398EE2" w14:textId="77777777" w:rsidR="001F58C4" w:rsidRDefault="001F58C4" w:rsidP="001F58C4">
      <w:pPr>
        <w:spacing w:line="341" w:lineRule="exact"/>
        <w:jc w:val="both"/>
        <w:rPr>
          <w:rFonts w:ascii="Calibri" w:hAnsi="Calibri" w:cs="Calibri"/>
          <w:lang w:val="it-IT"/>
        </w:rPr>
      </w:pPr>
      <w:r>
        <w:rPr>
          <w:rFonts w:ascii="Calibri" w:hAnsi="Calibri" w:cs="Calibri"/>
          <w:b/>
          <w:color w:val="000000"/>
          <w:spacing w:val="-4"/>
          <w:w w:val="95"/>
          <w:lang w:val="it-IT"/>
        </w:rPr>
        <w:t>Descrizione generale del modulo</w:t>
      </w:r>
    </w:p>
    <w:p w14:paraId="122B4F24" w14:textId="77777777" w:rsidR="001F58C4" w:rsidRDefault="001F58C4" w:rsidP="001F58C4">
      <w:pPr>
        <w:spacing w:line="331" w:lineRule="exact"/>
        <w:jc w:val="both"/>
        <w:rPr>
          <w:rFonts w:ascii="Calibri" w:hAnsi="Calibri" w:cs="Calibri"/>
          <w:color w:val="000000"/>
          <w:spacing w:val="-3"/>
          <w:sz w:val="22"/>
          <w:lang w:val="it-IT"/>
        </w:rPr>
      </w:pPr>
      <w:r>
        <w:rPr>
          <w:rFonts w:ascii="Calibri" w:hAnsi="Calibri" w:cs="Calibri"/>
          <w:color w:val="000000"/>
          <w:spacing w:val="-3"/>
          <w:sz w:val="22"/>
          <w:lang w:val="it-IT"/>
        </w:rPr>
        <w:t>Il modulo intende illustrare agli insegnanti le modalità di impiego dei sistemi di batteria negli autoveicoli moderni e fornire una comprensione globale di come il campo delle conoscenze afferenti alle varie aree scientifiche possa essere applicato alle soluzioni utilizzate attualmente nel settore automobilistico.</w:t>
      </w:r>
    </w:p>
    <w:p w14:paraId="2287E628" w14:textId="77777777" w:rsidR="001F58C4" w:rsidRDefault="001F58C4" w:rsidP="001F58C4">
      <w:pPr>
        <w:spacing w:after="240"/>
        <w:jc w:val="both"/>
        <w:rPr>
          <w:rFonts w:ascii="Calibri" w:hAnsi="Calibri" w:cs="Calibri"/>
          <w:color w:val="000000"/>
          <w:spacing w:val="-3"/>
          <w:sz w:val="22"/>
          <w:lang w:val="it-IT"/>
        </w:rPr>
      </w:pPr>
      <w:r>
        <w:rPr>
          <w:rFonts w:ascii="Calibri" w:hAnsi="Calibri" w:cs="Calibri"/>
          <w:color w:val="000000"/>
          <w:spacing w:val="-3"/>
          <w:sz w:val="22"/>
          <w:lang w:val="it-IT"/>
        </w:rPr>
        <w:t>Un altro obiettivo del modulo consiste nel presentare ai docenti le tipologie di utilizzo dell’illuminazione anteriore e posteriore delle autovetture, favorendo una comprensione dell’ingegneria del sistema che consentirà agli insegnanti di associare gli esperimenti e i contenuti trattati a scuola a specifiche funzionalità automobilistiche.</w:t>
      </w:r>
    </w:p>
    <w:p w14:paraId="52954A59" w14:textId="77777777" w:rsidR="001F58C4" w:rsidRDefault="001F58C4" w:rsidP="001F58C4">
      <w:pPr>
        <w:spacing w:line="341" w:lineRule="exact"/>
        <w:jc w:val="both"/>
        <w:rPr>
          <w:rFonts w:ascii="Calibri" w:hAnsi="Calibri" w:cs="Calibri"/>
          <w:b/>
          <w:color w:val="000000"/>
          <w:spacing w:val="-3"/>
          <w:lang w:val="it-IT"/>
        </w:rPr>
      </w:pPr>
      <w:r>
        <w:rPr>
          <w:rFonts w:ascii="Calibri" w:hAnsi="Calibri" w:cs="Calibri"/>
          <w:b/>
          <w:color w:val="000000"/>
          <w:spacing w:val="-4"/>
          <w:w w:val="95"/>
          <w:lang w:val="it-IT"/>
        </w:rPr>
        <w:t>Terminologia di base &amp; definizione del concetto di “batteria”</w:t>
      </w:r>
      <w:r>
        <w:rPr>
          <w:rFonts w:ascii="Calibri" w:hAnsi="Calibri" w:cs="Calibri"/>
          <w:b/>
          <w:color w:val="000000"/>
          <w:spacing w:val="-3"/>
          <w:lang w:val="it-IT"/>
        </w:rPr>
        <w:t xml:space="preserve"> </w:t>
      </w:r>
    </w:p>
    <w:p w14:paraId="44520C8D" w14:textId="77777777" w:rsidR="001F58C4" w:rsidRDefault="001F58C4" w:rsidP="001F58C4">
      <w:pPr>
        <w:jc w:val="both"/>
        <w:rPr>
          <w:rFonts w:ascii="Calibri" w:hAnsi="Calibri" w:cs="Calibri"/>
          <w:sz w:val="22"/>
          <w:lang w:val="it-IT"/>
        </w:rPr>
      </w:pPr>
      <w:r>
        <w:rPr>
          <w:rFonts w:ascii="Calibri" w:hAnsi="Calibri" w:cs="Calibri"/>
          <w:sz w:val="22"/>
          <w:lang w:val="it-IT"/>
        </w:rPr>
        <w:t xml:space="preserve">Tutte le tipologie di batteria si basano essenzialmente su una reazione elettrochimica. Le batterie convertono l’energia chimica in energia elettrica. Una batteria è composta da celle, terminali e un contenitore. In ciascuna cella troviamo l’elettrolita, elettrodi positivi e negativi e un separatore. Gli ioni con carica positiva e negativa sono detti rispettivamente cationi e anioni. L’elettrolita è un liquido al piombo acido, nichel-cadmio, litio ferro. Il separatore viene utilizzato per prevenire il passaggio di metalli, particelle di sostanza attiva e materiali di scarico dall’elettrodo di una polarità a quello di polarità opposta. </w:t>
      </w:r>
    </w:p>
    <w:p w14:paraId="1AB85D5C" w14:textId="77777777" w:rsidR="001F58C4" w:rsidRDefault="001F58C4" w:rsidP="001F58C4">
      <w:pPr>
        <w:spacing w:line="341" w:lineRule="exact"/>
        <w:ind w:left="65"/>
        <w:jc w:val="both"/>
        <w:rPr>
          <w:rFonts w:ascii="Calibri" w:hAnsi="Calibri" w:cs="Calibri"/>
          <w:b/>
          <w:sz w:val="22"/>
          <w:lang w:val="it-IT"/>
        </w:rPr>
      </w:pPr>
      <w:r>
        <w:rPr>
          <w:rFonts w:ascii="Calibri" w:hAnsi="Calibri" w:cs="Calibri"/>
          <w:b/>
          <w:bCs/>
          <w:sz w:val="22"/>
          <w:u w:val="single"/>
          <w:lang w:val="it-IT"/>
        </w:rPr>
        <w:t>Tipologie di batterie più comuni impiegate nel settore automobilistico</w:t>
      </w:r>
    </w:p>
    <w:p w14:paraId="2DE2479F" w14:textId="77777777" w:rsidR="001F58C4" w:rsidRDefault="001F58C4" w:rsidP="001F58C4">
      <w:pPr>
        <w:spacing w:line="341" w:lineRule="exact"/>
        <w:ind w:left="65"/>
        <w:jc w:val="both"/>
        <w:rPr>
          <w:rFonts w:ascii="Calibri" w:hAnsi="Calibri" w:cs="Calibri"/>
          <w:sz w:val="22"/>
          <w:lang w:val="it-IT"/>
        </w:rPr>
      </w:pPr>
    </w:p>
    <w:p w14:paraId="5CE27740" w14:textId="77777777" w:rsidR="001F58C4" w:rsidRDefault="001F58C4" w:rsidP="001F58C4">
      <w:pPr>
        <w:spacing w:line="341" w:lineRule="exact"/>
        <w:ind w:left="65" w:firstLine="655"/>
        <w:jc w:val="both"/>
        <w:rPr>
          <w:rFonts w:ascii="Calibri" w:hAnsi="Calibri" w:cs="Calibri"/>
          <w:sz w:val="22"/>
          <w:lang w:val="it-IT"/>
        </w:rPr>
      </w:pPr>
      <w:r>
        <w:rPr>
          <w:noProof/>
          <w:lang w:val="en-US" w:eastAsia="en-US"/>
        </w:rPr>
        <w:drawing>
          <wp:anchor distT="0" distB="0" distL="114300" distR="114300" simplePos="0" relativeHeight="251661312" behindDoc="1" locked="0" layoutInCell="1" allowOverlap="1" wp14:anchorId="04028C9F" wp14:editId="7FF23EA3">
            <wp:simplePos x="0" y="0"/>
            <wp:positionH relativeFrom="margin">
              <wp:align>left</wp:align>
            </wp:positionH>
            <wp:positionV relativeFrom="paragraph">
              <wp:posOffset>8890</wp:posOffset>
            </wp:positionV>
            <wp:extent cx="3409950" cy="2072005"/>
            <wp:effectExtent l="0" t="0" r="0" b="4445"/>
            <wp:wrapTight wrapText="bothSides">
              <wp:wrapPolygon edited="0">
                <wp:start x="0" y="0"/>
                <wp:lineTo x="0" y="21448"/>
                <wp:lineTo x="21479" y="21448"/>
                <wp:lineTo x="21479" y="0"/>
                <wp:lineTo x="0" y="0"/>
              </wp:wrapPolygon>
            </wp:wrapTight>
            <wp:docPr id="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207200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sz w:val="22"/>
          <w:lang w:val="it-IT"/>
        </w:rPr>
        <w:t xml:space="preserve"> Batterie al piombo acido</w:t>
      </w:r>
    </w:p>
    <w:p w14:paraId="7705BFF1" w14:textId="77777777" w:rsidR="001F58C4" w:rsidRDefault="001F58C4" w:rsidP="001F58C4">
      <w:pPr>
        <w:spacing w:line="341" w:lineRule="exact"/>
        <w:ind w:left="65" w:firstLine="655"/>
        <w:jc w:val="both"/>
        <w:rPr>
          <w:rFonts w:ascii="Calibri" w:hAnsi="Calibri" w:cs="Calibri"/>
          <w:sz w:val="22"/>
          <w:lang w:val="it-IT"/>
        </w:rPr>
      </w:pPr>
      <w:r>
        <w:rPr>
          <w:noProof/>
          <w:lang w:val="en-US" w:eastAsia="en-US"/>
        </w:rPr>
        <mc:AlternateContent>
          <mc:Choice Requires="wps">
            <w:drawing>
              <wp:anchor distT="0" distB="0" distL="114300" distR="114300" simplePos="0" relativeHeight="251663360" behindDoc="0" locked="0" layoutInCell="1" allowOverlap="1" wp14:anchorId="5F28682D" wp14:editId="2C3164FC">
                <wp:simplePos x="0" y="0"/>
                <wp:positionH relativeFrom="column">
                  <wp:posOffset>-3860800</wp:posOffset>
                </wp:positionH>
                <wp:positionV relativeFrom="paragraph">
                  <wp:posOffset>173355</wp:posOffset>
                </wp:positionV>
                <wp:extent cx="558800" cy="1183640"/>
                <wp:effectExtent l="0" t="0" r="12700" b="1651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183640"/>
                        </a:xfrm>
                        <a:prstGeom prst="rect">
                          <a:avLst/>
                        </a:prstGeom>
                        <a:solidFill>
                          <a:srgbClr val="FFFFFF"/>
                        </a:solidFill>
                        <a:ln w="9525">
                          <a:solidFill>
                            <a:srgbClr val="000000"/>
                          </a:solidFill>
                          <a:miter lim="800000"/>
                          <a:headEnd/>
                          <a:tailEnd/>
                        </a:ln>
                      </wps:spPr>
                      <wps:txbx>
                        <w:txbxContent>
                          <w:p w14:paraId="7E821422" w14:textId="77777777" w:rsidR="001F58C4" w:rsidRDefault="001F58C4" w:rsidP="001F58C4">
                            <w:pPr>
                              <w:rPr>
                                <w:sz w:val="12"/>
                                <w:lang w:val="it-IT"/>
                              </w:rPr>
                            </w:pPr>
                            <w:r>
                              <w:rPr>
                                <w:sz w:val="12"/>
                                <w:lang w:val="it-IT"/>
                              </w:rPr>
                              <w:t>Densità di potenza (Wh/Kg)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28682D" id="_x0000_t202" coordsize="21600,21600" o:spt="202" path="m,l,21600r21600,l21600,xe">
                <v:stroke joinstyle="miter"/>
                <v:path gradientshapeok="t" o:connecttype="rect"/>
              </v:shapetype>
              <v:shape id="Casella di testo 2" o:spid="_x0000_s1026" type="#_x0000_t202" style="position:absolute;left:0;text-align:left;margin-left:-304pt;margin-top:13.65pt;width:44pt;height:9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">
                <v:textbox>
                  <w:txbxContent>
                    <w:p w14:paraId="7E821422" w14:textId="77777777" w:rsidR="001F58C4" w:rsidRDefault="001F58C4" w:rsidP="001F58C4">
                      <w:pPr>
                        <w:rPr>
                          <w:sz w:val="12"/>
                          <w:lang w:val="it-IT"/>
                        </w:rPr>
                      </w:pPr>
                      <w:r>
                        <w:rPr>
                          <w:sz w:val="12"/>
                          <w:lang w:val="it-IT"/>
                        </w:rPr>
                        <w:t>Densità di potenza (Wh/Kg)</w:t>
                      </w:r>
                    </w:p>
                  </w:txbxContent>
                </v:textbox>
              </v:shape>
            </w:pict>
          </mc:Fallback>
        </mc:AlternateContent>
      </w:r>
      <w:r>
        <w:rPr>
          <w:rFonts w:ascii="Calibri" w:hAnsi="Calibri" w:cs="Calibri"/>
          <w:sz w:val="22"/>
          <w:lang w:val="it-IT"/>
        </w:rPr>
        <w:t xml:space="preserve"> Batterie al nichel-metallo idruro</w:t>
      </w:r>
    </w:p>
    <w:p w14:paraId="32A17DC2" w14:textId="77777777" w:rsidR="001F58C4" w:rsidRDefault="001F58C4" w:rsidP="001F58C4">
      <w:pPr>
        <w:spacing w:line="341" w:lineRule="exact"/>
        <w:ind w:left="65" w:firstLine="655"/>
        <w:jc w:val="both"/>
        <w:rPr>
          <w:rFonts w:ascii="Calibri" w:hAnsi="Calibri" w:cs="Calibri"/>
          <w:sz w:val="22"/>
          <w:lang w:val="it-IT"/>
        </w:rPr>
      </w:pPr>
      <w:r>
        <w:rPr>
          <w:rFonts w:ascii="Calibri" w:hAnsi="Calibri" w:cs="Calibri"/>
          <w:sz w:val="22"/>
          <w:lang w:val="it-IT"/>
        </w:rPr>
        <w:t xml:space="preserve"> Batterie al nichel-cadmio</w:t>
      </w:r>
    </w:p>
    <w:p w14:paraId="78624308" w14:textId="77777777" w:rsidR="001F58C4" w:rsidRDefault="001F58C4" w:rsidP="001F58C4">
      <w:pPr>
        <w:spacing w:line="341" w:lineRule="exact"/>
        <w:ind w:left="65" w:firstLine="655"/>
        <w:jc w:val="both"/>
        <w:rPr>
          <w:rFonts w:ascii="Calibri" w:hAnsi="Calibri" w:cs="Calibri"/>
          <w:sz w:val="22"/>
          <w:lang w:val="it-IT"/>
        </w:rPr>
      </w:pPr>
      <w:r>
        <w:rPr>
          <w:rFonts w:ascii="Calibri" w:hAnsi="Calibri" w:cs="Calibri"/>
          <w:sz w:val="22"/>
          <w:lang w:val="it-IT"/>
        </w:rPr>
        <w:t xml:space="preserve"> Batterie al litio</w:t>
      </w:r>
    </w:p>
    <w:p w14:paraId="6CB275A7" w14:textId="77777777" w:rsidR="001F58C4" w:rsidRDefault="001F58C4" w:rsidP="001F58C4">
      <w:pPr>
        <w:spacing w:line="341" w:lineRule="exact"/>
        <w:ind w:left="65" w:firstLine="655"/>
        <w:jc w:val="both"/>
        <w:rPr>
          <w:rFonts w:ascii="Calibri" w:hAnsi="Calibri" w:cs="Calibri"/>
          <w:sz w:val="22"/>
          <w:lang w:val="it-IT"/>
        </w:rPr>
      </w:pPr>
      <w:r>
        <w:rPr>
          <w:rFonts w:ascii="Calibri" w:hAnsi="Calibri" w:cs="Calibri"/>
          <w:sz w:val="22"/>
          <w:lang w:val="it-IT"/>
        </w:rPr>
        <w:t xml:space="preserve"> Batterie agli ioni di litio</w:t>
      </w:r>
    </w:p>
    <w:p w14:paraId="1558694D" w14:textId="77777777" w:rsidR="001F58C4" w:rsidRDefault="001F58C4" w:rsidP="001F58C4">
      <w:pPr>
        <w:spacing w:line="341" w:lineRule="exact"/>
        <w:ind w:left="65" w:firstLine="655"/>
        <w:jc w:val="both"/>
        <w:rPr>
          <w:rFonts w:ascii="Calibri" w:hAnsi="Calibri" w:cs="Calibri"/>
          <w:sz w:val="22"/>
          <w:lang w:val="it-IT"/>
        </w:rPr>
      </w:pPr>
      <w:r>
        <w:rPr>
          <w:rFonts w:ascii="Calibri" w:hAnsi="Calibri" w:cs="Calibri"/>
          <w:sz w:val="22"/>
          <w:lang w:val="it-IT"/>
        </w:rPr>
        <w:t xml:space="preserve"> Batterie ai polimeri di litio</w:t>
      </w:r>
    </w:p>
    <w:p w14:paraId="7BCC7C85" w14:textId="77777777" w:rsidR="001F58C4" w:rsidRDefault="001F58C4" w:rsidP="001F58C4">
      <w:pPr>
        <w:spacing w:line="341" w:lineRule="exact"/>
        <w:ind w:left="65" w:firstLine="655"/>
        <w:jc w:val="both"/>
        <w:rPr>
          <w:rFonts w:ascii="Calibri" w:hAnsi="Calibri" w:cs="Calibri"/>
          <w:sz w:val="22"/>
          <w:lang w:val="it-IT"/>
        </w:rPr>
      </w:pPr>
      <w:r>
        <w:rPr>
          <w:rFonts w:ascii="Calibri" w:hAnsi="Calibri" w:cs="Calibri"/>
          <w:sz w:val="22"/>
          <w:lang w:val="it-IT"/>
        </w:rPr>
        <w:t xml:space="preserve"> Batterie al litio-ossigeno</w:t>
      </w:r>
    </w:p>
    <w:p w14:paraId="6ED1FA71" w14:textId="77777777" w:rsidR="001F58C4" w:rsidRDefault="001F58C4" w:rsidP="001F58C4">
      <w:pPr>
        <w:spacing w:line="341" w:lineRule="exact"/>
        <w:ind w:left="65" w:firstLine="655"/>
        <w:jc w:val="both"/>
        <w:rPr>
          <w:rFonts w:ascii="Calibri" w:hAnsi="Calibri" w:cs="Calibri"/>
          <w:sz w:val="22"/>
          <w:lang w:val="it-IT"/>
        </w:rPr>
      </w:pPr>
      <w:r>
        <w:rPr>
          <w:rFonts w:ascii="Calibri" w:hAnsi="Calibri" w:cs="Calibri"/>
          <w:sz w:val="22"/>
          <w:lang w:val="it-IT"/>
        </w:rPr>
        <w:t xml:space="preserve"> Batterie al litio-zolfo</w:t>
      </w:r>
    </w:p>
    <w:p w14:paraId="0881B245" w14:textId="77777777" w:rsidR="001F58C4" w:rsidRDefault="001F58C4" w:rsidP="001F58C4">
      <w:pPr>
        <w:spacing w:line="341" w:lineRule="exact"/>
        <w:jc w:val="both"/>
        <w:rPr>
          <w:rFonts w:ascii="Calibri" w:hAnsi="Calibri" w:cs="Calibri"/>
          <w:sz w:val="22"/>
          <w:lang w:val="it-IT"/>
        </w:rPr>
      </w:pPr>
    </w:p>
    <w:p w14:paraId="72A0C639" w14:textId="77777777" w:rsidR="001F58C4" w:rsidRDefault="001F58C4" w:rsidP="001F58C4">
      <w:pPr>
        <w:spacing w:line="341" w:lineRule="exact"/>
        <w:jc w:val="both"/>
        <w:rPr>
          <w:rFonts w:ascii="Calibri" w:hAnsi="Calibri" w:cs="Calibri"/>
          <w:b/>
          <w:sz w:val="22"/>
          <w:lang w:val="it-IT"/>
        </w:rPr>
      </w:pPr>
    </w:p>
    <w:p w14:paraId="1CE16BA6" w14:textId="77777777" w:rsidR="001F58C4" w:rsidRDefault="001F58C4" w:rsidP="001F58C4">
      <w:pPr>
        <w:spacing w:line="341" w:lineRule="exact"/>
        <w:jc w:val="both"/>
        <w:rPr>
          <w:rFonts w:ascii="Calibri" w:hAnsi="Calibri" w:cs="Calibri"/>
          <w:b/>
          <w:sz w:val="22"/>
          <w:lang w:val="it-IT"/>
        </w:rPr>
      </w:pPr>
      <w:r>
        <w:rPr>
          <w:noProof/>
          <w:lang w:val="en-US" w:eastAsia="en-US"/>
        </w:rPr>
        <mc:AlternateContent>
          <mc:Choice Requires="wps">
            <w:drawing>
              <wp:anchor distT="0" distB="0" distL="114300" distR="114300" simplePos="0" relativeHeight="251662336" behindDoc="1" locked="0" layoutInCell="1" allowOverlap="1" wp14:anchorId="7DFBDAD4" wp14:editId="4206FB90">
                <wp:simplePos x="0" y="0"/>
                <wp:positionH relativeFrom="margin">
                  <wp:posOffset>80645</wp:posOffset>
                </wp:positionH>
                <wp:positionV relativeFrom="paragraph">
                  <wp:posOffset>8890</wp:posOffset>
                </wp:positionV>
                <wp:extent cx="4526280" cy="350520"/>
                <wp:effectExtent l="0" t="0" r="7620" b="0"/>
                <wp:wrapTight wrapText="bothSides">
                  <wp:wrapPolygon edited="0">
                    <wp:start x="0" y="0"/>
                    <wp:lineTo x="0" y="19957"/>
                    <wp:lineTo x="21545" y="19957"/>
                    <wp:lineTo x="21545" y="0"/>
                    <wp:lineTo x="0" y="0"/>
                  </wp:wrapPolygon>
                </wp:wrapTight>
                <wp:docPr id="5" name="Textové pole 1"/>
                <wp:cNvGraphicFramePr/>
                <a:graphic xmlns:a="http://schemas.openxmlformats.org/drawingml/2006/main">
                  <a:graphicData uri="http://schemas.microsoft.com/office/word/2010/wordprocessingShape">
                    <wps:wsp>
                      <wps:cNvSpPr txBox="1"/>
                      <wps:spPr>
                        <a:xfrm>
                          <a:off x="0" y="0"/>
                          <a:ext cx="4526280" cy="350520"/>
                        </a:xfrm>
                        <a:prstGeom prst="rect">
                          <a:avLst/>
                        </a:prstGeom>
                        <a:solidFill>
                          <a:prstClr val="white"/>
                        </a:solidFill>
                        <a:ln>
                          <a:noFill/>
                        </a:ln>
                      </wps:spPr>
                      <wps:txbx>
                        <w:txbxContent>
                          <w:p w14:paraId="5F4B48EC" w14:textId="77777777" w:rsidR="001F58C4" w:rsidRDefault="001F58C4" w:rsidP="001F58C4">
                            <w:pPr>
                              <w:pStyle w:val="Beschriftung"/>
                              <w:rPr>
                                <w:rFonts w:ascii="Calibri" w:hAnsi="Calibri" w:cs="Calibri"/>
                                <w:bCs/>
                                <w:u w:val="single"/>
                              </w:rPr>
                            </w:pPr>
                            <w:r>
                              <w:t xml:space="preserve">Figura </w:t>
                            </w:r>
                            <w:r>
                              <w:fldChar w:fldCharType="begin"/>
                            </w:r>
                            <w:r>
                              <w:instrText xml:space="preserve"> SEQ Figure \* ARABIC </w:instrText>
                            </w:r>
                            <w:r>
                              <w:fldChar w:fldCharType="separate"/>
                            </w:r>
                            <w:r>
                              <w:rPr>
                                <w:noProof/>
                              </w:rPr>
                              <w:t>1</w:t>
                            </w:r>
                            <w:r>
                              <w:fldChar w:fldCharType="end"/>
                            </w:r>
                            <w:r>
                              <w:t xml:space="preserve"> Densità di potenza vs densità energetica – Elcap, licenza CC0 1.0 Universal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BDAD4" id="Textové pole 1" o:spid="_x0000_s1027" type="#_x0000_t202" style="position:absolute;left:0;text-align:left;margin-left:6.35pt;margin-top:.7pt;width:356.4pt;height:27.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" stroked="f">
                <v:textbox inset="0,0,0,0">
                  <w:txbxContent>
                    <w:p w14:paraId="5F4B48EC" w14:textId="77777777" w:rsidR="001F58C4" w:rsidRDefault="001F58C4" w:rsidP="001F58C4">
                      <w:pPr>
                        <w:pStyle w:val="Beschriftung"/>
                        <w:rPr>
                          <w:rFonts w:ascii="Calibri" w:hAnsi="Calibri" w:cs="Calibri"/>
                          <w:bCs/>
                          <w:u w:val="single"/>
                        </w:rPr>
                      </w:pPr>
                      <w:r>
                        <w:t xml:space="preserve">Figura </w:t>
                      </w:r>
                      <w:r>
                        <w:fldChar w:fldCharType="begin"/>
                      </w:r>
                      <w:r>
                        <w:instrText xml:space="preserve"> SEQ Figure \* ARABIC </w:instrText>
                      </w:r>
                      <w:r>
                        <w:fldChar w:fldCharType="separate"/>
                      </w:r>
                      <w:r>
                        <w:rPr>
                          <w:noProof/>
                        </w:rPr>
                        <w:t>1</w:t>
                      </w:r>
                      <w:r>
                        <w:fldChar w:fldCharType="end"/>
                      </w:r>
                      <w:r>
                        <w:t xml:space="preserve"> Densità di potenza vs densità energetica – Elcap, licenza CC0 1.0 Universal</w:t>
                      </w:r>
                    </w:p>
                  </w:txbxContent>
                </v:textbox>
                <w10:wrap type="tight" anchorx="margin"/>
              </v:shape>
            </w:pict>
          </mc:Fallback>
        </mc:AlternateContent>
      </w:r>
    </w:p>
    <w:p w14:paraId="0EEB8B5C" w14:textId="77777777" w:rsidR="001F58C4" w:rsidRDefault="001F58C4" w:rsidP="001F58C4">
      <w:pPr>
        <w:spacing w:line="341" w:lineRule="exact"/>
        <w:jc w:val="both"/>
        <w:rPr>
          <w:rFonts w:ascii="Calibri" w:hAnsi="Calibri" w:cs="Calibri"/>
          <w:b/>
          <w:color w:val="000000"/>
          <w:spacing w:val="-4"/>
          <w:w w:val="95"/>
          <w:sz w:val="22"/>
          <w:lang w:val="it-IT"/>
        </w:rPr>
      </w:pPr>
    </w:p>
    <w:p w14:paraId="7D4E09E8" w14:textId="77777777" w:rsidR="001F58C4" w:rsidRDefault="001F58C4" w:rsidP="001F58C4">
      <w:pPr>
        <w:spacing w:line="341" w:lineRule="exact"/>
        <w:jc w:val="both"/>
        <w:rPr>
          <w:rFonts w:ascii="Calibri" w:hAnsi="Calibri" w:cs="Calibri"/>
          <w:b/>
          <w:color w:val="000000"/>
          <w:spacing w:val="-4"/>
          <w:w w:val="95"/>
          <w:lang w:val="it-IT"/>
        </w:rPr>
      </w:pPr>
      <w:r>
        <w:rPr>
          <w:rFonts w:ascii="Calibri" w:hAnsi="Calibri" w:cs="Calibri"/>
          <w:b/>
          <w:color w:val="000000"/>
          <w:spacing w:val="-4"/>
          <w:w w:val="95"/>
          <w:lang w:val="it-IT"/>
        </w:rPr>
        <w:t>Il Sistema di gestione delle batterie</w:t>
      </w:r>
    </w:p>
    <w:p w14:paraId="35DF000B" w14:textId="77777777" w:rsidR="001F58C4" w:rsidRDefault="001F58C4" w:rsidP="001F58C4">
      <w:pPr>
        <w:spacing w:line="341" w:lineRule="exact"/>
        <w:jc w:val="both"/>
        <w:rPr>
          <w:rFonts w:ascii="Calibri" w:hAnsi="Calibri" w:cs="Calibri"/>
          <w:color w:val="000000"/>
          <w:spacing w:val="-4"/>
          <w:w w:val="95"/>
          <w:sz w:val="22"/>
          <w:lang w:val="it-IT"/>
        </w:rPr>
      </w:pPr>
      <w:r>
        <w:rPr>
          <w:rFonts w:ascii="Calibri" w:hAnsi="Calibri" w:cs="Calibri"/>
          <w:sz w:val="22"/>
          <w:lang w:val="it-IT"/>
        </w:rPr>
        <w:t xml:space="preserve">Il sistema di gestione delle batterie </w:t>
      </w:r>
      <w:r>
        <w:rPr>
          <w:rFonts w:ascii="Calibri" w:hAnsi="Calibri" w:cs="Calibri"/>
          <w:bCs/>
          <w:sz w:val="22"/>
          <w:lang w:val="it-IT"/>
        </w:rPr>
        <w:t>(</w:t>
      </w:r>
      <w:proofErr w:type="spellStart"/>
      <w:r>
        <w:rPr>
          <w:rFonts w:ascii="Calibri" w:hAnsi="Calibri" w:cs="Calibri"/>
          <w:bCs/>
          <w:i/>
          <w:iCs/>
          <w:sz w:val="22"/>
          <w:lang w:val="it-IT"/>
        </w:rPr>
        <w:t>Battery</w:t>
      </w:r>
      <w:proofErr w:type="spellEnd"/>
      <w:r>
        <w:rPr>
          <w:rFonts w:ascii="Calibri" w:hAnsi="Calibri" w:cs="Calibri"/>
          <w:bCs/>
          <w:i/>
          <w:iCs/>
          <w:sz w:val="22"/>
          <w:lang w:val="it-IT"/>
        </w:rPr>
        <w:t xml:space="preserve"> Management System, BMS</w:t>
      </w:r>
      <w:r>
        <w:rPr>
          <w:rFonts w:ascii="Calibri" w:hAnsi="Calibri" w:cs="Calibri"/>
          <w:bCs/>
          <w:sz w:val="22"/>
          <w:lang w:val="it-IT"/>
        </w:rPr>
        <w:t xml:space="preserve">) è una delle unità più importanti delle auto elettriche. Tali veicoli richiedono spesso una corrente rapida ed elevata durante le operazioni di ricarica e di scarico, soprattutto nelle applicazioni ibride (HEV - </w:t>
      </w:r>
      <w:proofErr w:type="spellStart"/>
      <w:r>
        <w:rPr>
          <w:rFonts w:ascii="Calibri" w:hAnsi="Calibri" w:cs="Calibri"/>
          <w:bCs/>
          <w:i/>
          <w:iCs/>
          <w:sz w:val="22"/>
          <w:lang w:val="it-IT"/>
        </w:rPr>
        <w:t>Hybrid</w:t>
      </w:r>
      <w:proofErr w:type="spellEnd"/>
      <w:r>
        <w:rPr>
          <w:rFonts w:ascii="Calibri" w:hAnsi="Calibri" w:cs="Calibri"/>
          <w:bCs/>
          <w:i/>
          <w:iCs/>
          <w:sz w:val="22"/>
          <w:lang w:val="it-IT"/>
        </w:rPr>
        <w:t xml:space="preserve"> </w:t>
      </w:r>
      <w:proofErr w:type="spellStart"/>
      <w:r>
        <w:rPr>
          <w:rFonts w:ascii="Calibri" w:hAnsi="Calibri" w:cs="Calibri"/>
          <w:bCs/>
          <w:i/>
          <w:iCs/>
          <w:sz w:val="22"/>
          <w:lang w:val="it-IT"/>
        </w:rPr>
        <w:t>Electric</w:t>
      </w:r>
      <w:proofErr w:type="spellEnd"/>
      <w:r>
        <w:rPr>
          <w:rFonts w:ascii="Calibri" w:hAnsi="Calibri" w:cs="Calibri"/>
          <w:bCs/>
          <w:i/>
          <w:iCs/>
          <w:sz w:val="22"/>
          <w:lang w:val="it-IT"/>
        </w:rPr>
        <w:t xml:space="preserve"> </w:t>
      </w:r>
      <w:proofErr w:type="spellStart"/>
      <w:r>
        <w:rPr>
          <w:rFonts w:ascii="Calibri" w:hAnsi="Calibri" w:cs="Calibri"/>
          <w:bCs/>
          <w:i/>
          <w:iCs/>
          <w:sz w:val="22"/>
          <w:lang w:val="it-IT"/>
        </w:rPr>
        <w:t>Vehicle</w:t>
      </w:r>
      <w:proofErr w:type="spellEnd"/>
      <w:r>
        <w:rPr>
          <w:rFonts w:ascii="Calibri" w:hAnsi="Calibri" w:cs="Calibri"/>
          <w:bCs/>
          <w:sz w:val="22"/>
          <w:lang w:val="it-IT"/>
        </w:rPr>
        <w:t>)</w:t>
      </w:r>
      <w:r>
        <w:rPr>
          <w:rFonts w:ascii="Calibri" w:hAnsi="Calibri" w:cs="Calibri"/>
          <w:sz w:val="22"/>
          <w:lang w:val="it-IT"/>
        </w:rPr>
        <w:t xml:space="preserve">. Il BMS è un sistema elettronico che gestisce le celle nel pacchetto della batteria alle quali è collegato tramite una </w:t>
      </w:r>
      <w:r>
        <w:rPr>
          <w:rFonts w:ascii="Calibri" w:hAnsi="Calibri" w:cs="Calibri"/>
          <w:sz w:val="22"/>
          <w:lang w:val="it-IT"/>
        </w:rPr>
        <w:lastRenderedPageBreak/>
        <w:t>moltitudine di cavi. L’unità di controllo viene utilizzata per misurare, stimare e prevedere le possibilità di funzionamento per il periodo di tempo successivo.</w:t>
      </w:r>
    </w:p>
    <w:p w14:paraId="47117C17" w14:textId="2A2CC570" w:rsidR="001F58C4" w:rsidRDefault="001F58C4" w:rsidP="001F58C4">
      <w:pPr>
        <w:spacing w:line="341" w:lineRule="exact"/>
        <w:jc w:val="both"/>
        <w:rPr>
          <w:rFonts w:ascii="Calibri" w:hAnsi="Calibri" w:cs="Calibri"/>
          <w:sz w:val="22"/>
          <w:lang w:val="it-IT"/>
        </w:rPr>
      </w:pPr>
      <w:bookmarkStart w:id="0" w:name="_GoBack"/>
      <w:bookmarkEnd w:id="0"/>
      <w:r>
        <w:rPr>
          <w:rFonts w:ascii="Calibri" w:hAnsi="Calibri" w:cs="Calibri"/>
          <w:sz w:val="22"/>
          <w:lang w:val="it-IT"/>
        </w:rPr>
        <w:t xml:space="preserve">Il BMS deve essere in grado di stabilire quando l’energia derivante dalla sorgente può essere accettata o trasmessa, allo scopo di consentire costantemente un’adeguata performance del veicolo. Le strategie di controllo utilizzate determinano l’impiego ottimale di energia e della vita della batteria. </w:t>
      </w:r>
    </w:p>
    <w:p w14:paraId="04D24CE2" w14:textId="77777777" w:rsidR="001F58C4" w:rsidRDefault="001F58C4" w:rsidP="001F58C4">
      <w:pPr>
        <w:spacing w:line="341" w:lineRule="exact"/>
        <w:jc w:val="both"/>
        <w:rPr>
          <w:rFonts w:ascii="Calibri" w:hAnsi="Calibri" w:cs="Calibri"/>
          <w:sz w:val="22"/>
          <w:lang w:val="it-IT"/>
        </w:rPr>
      </w:pPr>
      <w:r>
        <w:rPr>
          <w:rFonts w:ascii="Calibri" w:hAnsi="Calibri" w:cs="Calibri"/>
          <w:sz w:val="22"/>
          <w:lang w:val="it-IT"/>
        </w:rPr>
        <w:t>La comunicazione tra tutte le unità di controllo tramite un’interfaccia di collegamento, che avviene in tempo reale e sulla base del rapido cambiamento delle condizioni di guida, è fondamentale per un corretto funzionamento.</w:t>
      </w:r>
    </w:p>
    <w:p w14:paraId="12DC3B5E" w14:textId="77777777" w:rsidR="001F58C4" w:rsidRDefault="001F58C4" w:rsidP="001F58C4">
      <w:pPr>
        <w:ind w:left="65"/>
        <w:jc w:val="both"/>
        <w:rPr>
          <w:rFonts w:ascii="Calibri" w:hAnsi="Calibri" w:cs="Calibri"/>
          <w:b/>
          <w:color w:val="000000"/>
          <w:spacing w:val="-4"/>
          <w:w w:val="95"/>
          <w:sz w:val="22"/>
          <w:lang w:val="it-IT"/>
        </w:rPr>
      </w:pPr>
      <w:r>
        <w:rPr>
          <w:rFonts w:ascii="Calibri" w:hAnsi="Calibri" w:cs="Calibri"/>
          <w:b/>
          <w:bCs/>
          <w:color w:val="000000"/>
          <w:spacing w:val="-4"/>
          <w:w w:val="95"/>
          <w:sz w:val="22"/>
          <w:u w:val="single"/>
          <w:lang w:val="it-IT"/>
        </w:rPr>
        <w:t xml:space="preserve">Il BMS deve assolvere alle seguenti funzioni di base: </w:t>
      </w:r>
    </w:p>
    <w:p w14:paraId="25DE40A5" w14:textId="77777777" w:rsidR="001F58C4" w:rsidRDefault="001F58C4" w:rsidP="001F58C4">
      <w:pPr>
        <w:numPr>
          <w:ilvl w:val="0"/>
          <w:numId w:val="42"/>
        </w:numPr>
        <w:jc w:val="both"/>
        <w:rPr>
          <w:rFonts w:ascii="Calibri" w:hAnsi="Calibri" w:cs="Calibri"/>
          <w:color w:val="000000"/>
          <w:spacing w:val="-4"/>
          <w:w w:val="95"/>
          <w:sz w:val="22"/>
          <w:lang w:val="it-IT"/>
        </w:rPr>
      </w:pPr>
      <w:r>
        <w:rPr>
          <w:rFonts w:ascii="Calibri" w:hAnsi="Calibri" w:cs="Calibri"/>
          <w:color w:val="000000"/>
          <w:spacing w:val="-4"/>
          <w:w w:val="95"/>
          <w:sz w:val="22"/>
          <w:lang w:val="it-IT"/>
        </w:rPr>
        <w:t>proteggere le celle o la batteria da eventuali danni,</w:t>
      </w:r>
    </w:p>
    <w:p w14:paraId="5A62B5F5" w14:textId="77777777" w:rsidR="001F58C4" w:rsidRDefault="001F58C4" w:rsidP="001F58C4">
      <w:pPr>
        <w:numPr>
          <w:ilvl w:val="0"/>
          <w:numId w:val="42"/>
        </w:numPr>
        <w:jc w:val="both"/>
        <w:rPr>
          <w:rFonts w:ascii="Calibri" w:hAnsi="Calibri" w:cs="Calibri"/>
          <w:color w:val="000000"/>
          <w:spacing w:val="-4"/>
          <w:w w:val="95"/>
          <w:sz w:val="22"/>
          <w:lang w:val="it-IT"/>
        </w:rPr>
      </w:pPr>
      <w:r>
        <w:rPr>
          <w:rFonts w:ascii="Calibri" w:hAnsi="Calibri" w:cs="Calibri"/>
          <w:color w:val="000000"/>
          <w:spacing w:val="-4"/>
          <w:w w:val="95"/>
          <w:sz w:val="22"/>
          <w:lang w:val="it-IT"/>
        </w:rPr>
        <w:t>prolungare la vita della batteria,</w:t>
      </w:r>
    </w:p>
    <w:p w14:paraId="17EB64CD" w14:textId="77777777" w:rsidR="001F58C4" w:rsidRDefault="001F58C4" w:rsidP="001F58C4">
      <w:pPr>
        <w:numPr>
          <w:ilvl w:val="0"/>
          <w:numId w:val="42"/>
        </w:numPr>
        <w:jc w:val="both"/>
        <w:rPr>
          <w:rFonts w:ascii="Calibri" w:hAnsi="Calibri" w:cs="Calibri"/>
          <w:color w:val="000000"/>
          <w:spacing w:val="-4"/>
          <w:w w:val="95"/>
          <w:sz w:val="22"/>
          <w:lang w:val="it-IT"/>
        </w:rPr>
      </w:pPr>
      <w:r>
        <w:rPr>
          <w:rFonts w:ascii="Calibri" w:hAnsi="Calibri" w:cs="Calibri"/>
          <w:color w:val="000000"/>
          <w:spacing w:val="-4"/>
          <w:w w:val="95"/>
          <w:sz w:val="22"/>
          <w:lang w:val="it-IT"/>
        </w:rPr>
        <w:t>mantenere la batteria in uno stato tale da consentire al componente di soddisfare tutti i requisiti funzionali previsti dalle specifiche di utilizzo,</w:t>
      </w:r>
    </w:p>
    <w:p w14:paraId="3C86DC6C" w14:textId="77777777" w:rsidR="001F58C4" w:rsidRDefault="001F58C4" w:rsidP="001F58C4">
      <w:pPr>
        <w:numPr>
          <w:ilvl w:val="0"/>
          <w:numId w:val="42"/>
        </w:numPr>
        <w:jc w:val="both"/>
        <w:rPr>
          <w:rFonts w:ascii="Calibri" w:hAnsi="Calibri" w:cs="Calibri"/>
          <w:color w:val="000000"/>
          <w:spacing w:val="-4"/>
          <w:w w:val="95"/>
          <w:sz w:val="22"/>
          <w:lang w:val="it-IT"/>
        </w:rPr>
      </w:pPr>
      <w:r>
        <w:rPr>
          <w:rFonts w:ascii="Calibri" w:hAnsi="Calibri" w:cs="Calibri"/>
          <w:color w:val="000000"/>
          <w:spacing w:val="-4"/>
          <w:w w:val="95"/>
          <w:sz w:val="22"/>
          <w:lang w:val="it-IT"/>
        </w:rPr>
        <w:t>monitorare le condizioni delle singole celle che formano il pacchetto della batteria, e mantenere le stesse nell’ambito dei loro limiti di operatività.</w:t>
      </w:r>
    </w:p>
    <w:p w14:paraId="1CC2EDCF" w14:textId="77777777" w:rsidR="001F58C4" w:rsidRDefault="001F58C4" w:rsidP="001F58C4">
      <w:pPr>
        <w:ind w:left="720"/>
        <w:jc w:val="both"/>
        <w:rPr>
          <w:rFonts w:ascii="Calibri" w:hAnsi="Calibri" w:cs="Calibri"/>
          <w:color w:val="000000"/>
          <w:spacing w:val="-4"/>
          <w:w w:val="95"/>
          <w:sz w:val="22"/>
          <w:lang w:val="it-IT"/>
        </w:rPr>
      </w:pPr>
    </w:p>
    <w:p w14:paraId="7D29D81E" w14:textId="77777777" w:rsidR="001F58C4" w:rsidRDefault="001F58C4" w:rsidP="001F58C4">
      <w:pPr>
        <w:jc w:val="both"/>
        <w:rPr>
          <w:rFonts w:ascii="Calibri" w:hAnsi="Calibri" w:cs="Calibri"/>
          <w:b/>
          <w:color w:val="000000"/>
          <w:spacing w:val="-4"/>
          <w:w w:val="95"/>
          <w:lang w:val="it-IT"/>
        </w:rPr>
      </w:pPr>
      <w:r>
        <w:rPr>
          <w:rFonts w:ascii="Calibri" w:hAnsi="Calibri" w:cs="Calibri"/>
          <w:b/>
          <w:color w:val="000000"/>
          <w:spacing w:val="-4"/>
          <w:w w:val="95"/>
          <w:lang w:val="it-IT"/>
        </w:rPr>
        <w:t>L’impatto delle batterie sull’ambiente e sulla salute umana</w:t>
      </w:r>
    </w:p>
    <w:p w14:paraId="4954E066" w14:textId="77777777" w:rsidR="001F58C4" w:rsidRDefault="001F58C4" w:rsidP="001F58C4">
      <w:pPr>
        <w:jc w:val="both"/>
        <w:rPr>
          <w:rFonts w:ascii="Calibri" w:hAnsi="Calibri" w:cs="Calibri"/>
          <w:color w:val="000000"/>
          <w:spacing w:val="-4"/>
          <w:w w:val="95"/>
          <w:sz w:val="22"/>
          <w:lang w:val="it-IT"/>
        </w:rPr>
      </w:pPr>
      <w:r>
        <w:rPr>
          <w:rFonts w:ascii="Calibri" w:hAnsi="Calibri" w:cs="Calibri"/>
          <w:color w:val="000000"/>
          <w:spacing w:val="-4"/>
          <w:w w:val="95"/>
          <w:sz w:val="22"/>
          <w:lang w:val="it-IT"/>
        </w:rPr>
        <w:t>Le batterie contengono svariate sostanze e metalli che permettono le reazioni chimiche al suo interno. Alcuni di questi materiali, quali ad esempio nichel, cadmio, piombo, mercurio, zinco, manganese, cobalto, cromo, vanadio e litio, sono estremamente tossici e velenosi.</w:t>
      </w:r>
    </w:p>
    <w:p w14:paraId="5831794D" w14:textId="77777777" w:rsidR="001F58C4" w:rsidRDefault="001F58C4" w:rsidP="001F58C4">
      <w:pPr>
        <w:jc w:val="both"/>
        <w:rPr>
          <w:rFonts w:ascii="Calibri" w:hAnsi="Calibri" w:cs="Calibri"/>
          <w:b/>
          <w:color w:val="000000"/>
          <w:spacing w:val="-4"/>
          <w:w w:val="95"/>
          <w:sz w:val="22"/>
          <w:lang w:val="it-IT"/>
        </w:rPr>
      </w:pPr>
      <w:r>
        <w:rPr>
          <w:rFonts w:ascii="Calibri" w:hAnsi="Calibri" w:cs="Calibri"/>
          <w:b/>
          <w:bCs/>
          <w:color w:val="000000"/>
          <w:spacing w:val="-4"/>
          <w:w w:val="95"/>
          <w:sz w:val="22"/>
          <w:lang w:val="it-IT"/>
        </w:rPr>
        <w:t xml:space="preserve">Inquinamento dell’aria: </w:t>
      </w:r>
      <w:r>
        <w:rPr>
          <w:rFonts w:ascii="Calibri" w:hAnsi="Calibri" w:cs="Calibri"/>
          <w:color w:val="000000"/>
          <w:spacing w:val="-4"/>
          <w:w w:val="95"/>
          <w:sz w:val="22"/>
          <w:lang w:val="it-IT"/>
        </w:rPr>
        <w:t>le batterie si decompongono nelle discariche. Il processo della reazione fotochimica che avviene al loro interno contribuisce all’effetto serra e, di conseguenza, al riscaldamento globale e al cambiamento climatico.</w:t>
      </w:r>
    </w:p>
    <w:p w14:paraId="7D076D6A" w14:textId="77777777" w:rsidR="001F58C4" w:rsidRDefault="001F58C4" w:rsidP="001F58C4">
      <w:pPr>
        <w:jc w:val="both"/>
        <w:rPr>
          <w:rFonts w:ascii="Calibri" w:hAnsi="Calibri" w:cs="Calibri"/>
          <w:color w:val="000000"/>
          <w:spacing w:val="-4"/>
          <w:w w:val="95"/>
          <w:sz w:val="22"/>
          <w:lang w:val="it-IT"/>
        </w:rPr>
      </w:pPr>
      <w:r>
        <w:rPr>
          <w:rFonts w:ascii="Calibri" w:hAnsi="Calibri" w:cs="Calibri"/>
          <w:b/>
          <w:bCs/>
          <w:color w:val="000000"/>
          <w:spacing w:val="-4"/>
          <w:w w:val="95"/>
          <w:sz w:val="22"/>
          <w:lang w:val="it-IT"/>
        </w:rPr>
        <w:t>Inquinamento di acqua e suolo</w:t>
      </w:r>
      <w:r>
        <w:rPr>
          <w:rFonts w:ascii="Calibri" w:hAnsi="Calibri" w:cs="Calibri"/>
          <w:bCs/>
          <w:color w:val="000000"/>
          <w:spacing w:val="-4"/>
          <w:w w:val="95"/>
          <w:sz w:val="22"/>
          <w:lang w:val="it-IT"/>
        </w:rPr>
        <w:t xml:space="preserve">: </w:t>
      </w:r>
      <w:r>
        <w:rPr>
          <w:rFonts w:ascii="Calibri" w:hAnsi="Calibri" w:cs="Calibri"/>
          <w:color w:val="000000"/>
          <w:spacing w:val="-4"/>
          <w:w w:val="95"/>
          <w:sz w:val="22"/>
          <w:lang w:val="it-IT"/>
        </w:rPr>
        <w:t>arrecano danno ai micro-organismi del suolo e interferiscono negativamente nella decomposizione della sostanza organica.</w:t>
      </w:r>
    </w:p>
    <w:p w14:paraId="20FD71AC" w14:textId="77777777" w:rsidR="001F58C4" w:rsidRDefault="001F58C4" w:rsidP="001F58C4">
      <w:pPr>
        <w:jc w:val="both"/>
        <w:rPr>
          <w:rFonts w:ascii="Calibri" w:hAnsi="Calibri" w:cs="Calibri"/>
          <w:color w:val="000000"/>
          <w:spacing w:val="-4"/>
          <w:w w:val="95"/>
          <w:sz w:val="22"/>
          <w:lang w:val="it-IT"/>
        </w:rPr>
      </w:pPr>
      <w:r>
        <w:rPr>
          <w:rFonts w:ascii="Calibri" w:hAnsi="Calibri" w:cs="Calibri"/>
          <w:b/>
          <w:bCs/>
          <w:color w:val="000000"/>
          <w:spacing w:val="-4"/>
          <w:w w:val="95"/>
          <w:sz w:val="22"/>
          <w:lang w:val="it-IT"/>
        </w:rPr>
        <w:t>Minacce per la fauna selvatica:</w:t>
      </w:r>
      <w:r>
        <w:rPr>
          <w:rFonts w:ascii="Calibri" w:hAnsi="Calibri" w:cs="Calibri"/>
          <w:bCs/>
          <w:color w:val="000000"/>
          <w:spacing w:val="-4"/>
          <w:w w:val="95"/>
          <w:sz w:val="22"/>
          <w:lang w:val="it-IT"/>
        </w:rPr>
        <w:t xml:space="preserve"> </w:t>
      </w:r>
      <w:r>
        <w:rPr>
          <w:rFonts w:ascii="Calibri" w:hAnsi="Calibri" w:cs="Calibri"/>
          <w:color w:val="000000"/>
          <w:spacing w:val="-4"/>
          <w:w w:val="95"/>
          <w:sz w:val="22"/>
          <w:lang w:val="it-IT"/>
        </w:rPr>
        <w:t>le sostanze tossiche si accumulano negli organismi dei pesci, causando una riduzione della loro popolazione.</w:t>
      </w:r>
    </w:p>
    <w:p w14:paraId="35FE9832" w14:textId="77777777" w:rsidR="001F58C4" w:rsidRDefault="001F58C4" w:rsidP="001F58C4">
      <w:pPr>
        <w:spacing w:line="341" w:lineRule="exact"/>
        <w:jc w:val="both"/>
        <w:rPr>
          <w:rFonts w:ascii="Calibri" w:hAnsi="Calibri" w:cs="Calibri"/>
          <w:color w:val="000000"/>
          <w:spacing w:val="-4"/>
          <w:w w:val="95"/>
          <w:sz w:val="22"/>
          <w:lang w:val="it-IT"/>
        </w:rPr>
      </w:pPr>
      <w:r>
        <w:rPr>
          <w:rFonts w:ascii="Calibri" w:hAnsi="Calibri" w:cs="Calibri"/>
          <w:color w:val="000000"/>
          <w:spacing w:val="-4"/>
          <w:w w:val="95"/>
          <w:sz w:val="22"/>
          <w:lang w:val="it-IT"/>
        </w:rPr>
        <w:t>Le nuove tecniche impiegate nell’elettrochimica possono diminuire l’impatto delle batterie sull’ambiente e sulla salute dell’uomo. I sistemi di batteria ricaricabili apportano naturalmente grandi vantaggi in questo senso, in quanto possono essere ricaricati e riutilizzati più volte</w:t>
      </w:r>
      <w:r>
        <w:rPr>
          <w:rFonts w:ascii="Calibri" w:hAnsi="Calibri" w:cs="Calibri"/>
          <w:spacing w:val="-4"/>
          <w:w w:val="95"/>
          <w:sz w:val="22"/>
          <w:lang w:val="it-IT"/>
        </w:rPr>
        <w:t xml:space="preserve">. Si auspica inoltre </w:t>
      </w:r>
      <w:r>
        <w:rPr>
          <w:rFonts w:ascii="Calibri" w:hAnsi="Calibri" w:cs="Calibri"/>
          <w:color w:val="000000"/>
          <w:spacing w:val="-4"/>
          <w:w w:val="95"/>
          <w:sz w:val="22"/>
          <w:lang w:val="it-IT"/>
        </w:rPr>
        <w:t>una maggiore efficienza nella raccolta differenziata, e nel riutilizzo e nello smaltimento dei componenti delle batterie.</w:t>
      </w:r>
    </w:p>
    <w:p w14:paraId="03217F4C" w14:textId="77777777" w:rsidR="001F58C4" w:rsidRDefault="001F58C4" w:rsidP="001F58C4">
      <w:pPr>
        <w:spacing w:line="341" w:lineRule="exact"/>
        <w:jc w:val="both"/>
        <w:rPr>
          <w:rFonts w:ascii="Calibri" w:hAnsi="Calibri" w:cs="Calibri"/>
          <w:b/>
          <w:sz w:val="22"/>
          <w:lang w:val="it-IT"/>
        </w:rPr>
      </w:pPr>
    </w:p>
    <w:p w14:paraId="371D44E0" w14:textId="77777777" w:rsidR="001F58C4" w:rsidRDefault="001F58C4" w:rsidP="001F58C4">
      <w:pPr>
        <w:spacing w:after="240" w:line="341" w:lineRule="exact"/>
        <w:ind w:left="65"/>
        <w:jc w:val="both"/>
        <w:rPr>
          <w:rFonts w:ascii="Calibri" w:hAnsi="Calibri" w:cs="Calibri"/>
          <w:b/>
          <w:color w:val="000000"/>
          <w:spacing w:val="-4"/>
          <w:w w:val="95"/>
          <w:lang w:val="it-IT"/>
        </w:rPr>
      </w:pPr>
      <w:r>
        <w:rPr>
          <w:rFonts w:ascii="Calibri" w:hAnsi="Calibri" w:cs="Calibri"/>
          <w:b/>
          <w:color w:val="000000"/>
          <w:spacing w:val="-4"/>
          <w:w w:val="95"/>
          <w:lang w:val="it-IT"/>
        </w:rPr>
        <w:t>Concetti di base dei moderni sistemi di illuminazione</w:t>
      </w:r>
    </w:p>
    <w:p w14:paraId="78E81D0A" w14:textId="77777777" w:rsidR="001F58C4" w:rsidRDefault="001F58C4" w:rsidP="001F58C4">
      <w:pPr>
        <w:spacing w:line="331" w:lineRule="exact"/>
        <w:ind w:left="65"/>
        <w:jc w:val="both"/>
        <w:rPr>
          <w:rFonts w:ascii="Calibri" w:hAnsi="Calibri" w:cs="Calibri"/>
          <w:color w:val="000000"/>
          <w:spacing w:val="-3"/>
          <w:sz w:val="22"/>
          <w:lang w:val="it-IT"/>
        </w:rPr>
      </w:pPr>
      <w:r>
        <w:rPr>
          <w:rFonts w:ascii="Calibri" w:hAnsi="Calibri" w:cs="Calibri"/>
          <w:color w:val="000000"/>
          <w:spacing w:val="-3"/>
          <w:sz w:val="22"/>
          <w:lang w:val="it-IT"/>
        </w:rPr>
        <w:t>L’illuminazione anteriore adattiva è parte del sistema di sicurezza attivo delle autovetture di livello medio-elevato. Si tratta di soluzioni che offrono al conducente una visione ottimizzata nelle ore notturne e in altre situazioni di visibilità limitata durante la guida grazie non solo all’adattamento dell’angolo e dell’intensità di luce del faro ma anche a seguito della valutazione di altri fattori quali la velocità della vettura, l’angolo di sterzata, le condizioni meteorologiche, il tasso di imbardata e l’inclinazione del veicolo.</w:t>
      </w:r>
    </w:p>
    <w:p w14:paraId="7BAF0D67" w14:textId="77777777" w:rsidR="001F58C4" w:rsidRDefault="001F58C4" w:rsidP="001F58C4">
      <w:pPr>
        <w:spacing w:line="331" w:lineRule="exact"/>
        <w:ind w:left="65"/>
        <w:jc w:val="both"/>
        <w:rPr>
          <w:rFonts w:ascii="Calibri" w:hAnsi="Calibri" w:cs="Calibri"/>
          <w:color w:val="000000"/>
          <w:spacing w:val="-3"/>
          <w:sz w:val="22"/>
          <w:lang w:val="it-IT"/>
        </w:rPr>
      </w:pPr>
      <w:r>
        <w:rPr>
          <w:rFonts w:ascii="Calibri" w:hAnsi="Calibri" w:cs="Calibri"/>
          <w:color w:val="000000"/>
          <w:spacing w:val="-3"/>
          <w:sz w:val="22"/>
          <w:lang w:val="it-IT"/>
        </w:rPr>
        <w:lastRenderedPageBreak/>
        <w:t>Il traffico che procede in direzione opposta spesso costringe il conducente a spegnere i fari abbaglianti, per evitare di abbagliare gli altri utenti. I nuovi sistemi di illuminazione consentono di ovviare a questo inconveniente e permettono al conducente di guidare costantemente con i fari abbaglianti accesi, grazie all’impiego della tecnica di mascheramento, che crea un fascio di luce in tempo reale. È il sistema di illuminazione adattivo dotato di telecamera e con fari abbaglianti anti-riverbero, che ha trovato un ulteriore sviluppo nella soluzione con proiettori Matrix, in grado di proiettare sulla scena più fasci di luce e sostituire gli elementi meccanici (tamburo rotante, motore passo-passo, ingranaggi …) con un impianto completamente digitale. Il sistema Matrix LED consiste di una telecamera, di un’unità di controllo Matrix LED e di moduli di luci Matrix LED.</w:t>
      </w:r>
    </w:p>
    <w:p w14:paraId="05A22387" w14:textId="77777777" w:rsidR="001F58C4" w:rsidRDefault="001F58C4" w:rsidP="001F58C4">
      <w:pPr>
        <w:spacing w:line="331" w:lineRule="exact"/>
        <w:ind w:left="65"/>
        <w:jc w:val="both"/>
        <w:rPr>
          <w:rFonts w:ascii="Calibri" w:hAnsi="Calibri" w:cs="Calibri"/>
          <w:color w:val="000000"/>
          <w:spacing w:val="-3"/>
          <w:sz w:val="22"/>
          <w:lang w:val="it-IT"/>
        </w:rPr>
      </w:pPr>
    </w:p>
    <w:p w14:paraId="3839B64E" w14:textId="77777777" w:rsidR="001F58C4" w:rsidRDefault="001F58C4" w:rsidP="001F58C4">
      <w:pPr>
        <w:spacing w:line="331" w:lineRule="exact"/>
        <w:ind w:left="65"/>
        <w:jc w:val="both"/>
        <w:rPr>
          <w:rFonts w:ascii="Calibri" w:hAnsi="Calibri" w:cs="Calibri"/>
          <w:color w:val="000000"/>
          <w:spacing w:val="-3"/>
          <w:sz w:val="22"/>
          <w:lang w:val="it-IT"/>
        </w:rPr>
      </w:pPr>
    </w:p>
    <w:p w14:paraId="19139406" w14:textId="77777777" w:rsidR="001F58C4" w:rsidRDefault="001F58C4" w:rsidP="001F58C4">
      <w:pPr>
        <w:spacing w:line="331" w:lineRule="exact"/>
        <w:ind w:left="65"/>
        <w:jc w:val="both"/>
        <w:rPr>
          <w:rFonts w:ascii="Calibri" w:hAnsi="Calibri" w:cs="Calibri"/>
          <w:color w:val="000000"/>
          <w:spacing w:val="-3"/>
          <w:sz w:val="22"/>
          <w:lang w:val="it-IT"/>
        </w:rPr>
      </w:pPr>
    </w:p>
    <w:p w14:paraId="1F225ACF" w14:textId="77777777" w:rsidR="001F58C4" w:rsidRDefault="001F58C4" w:rsidP="001F58C4">
      <w:pPr>
        <w:spacing w:line="331" w:lineRule="exact"/>
        <w:ind w:left="65"/>
        <w:jc w:val="both"/>
        <w:rPr>
          <w:rFonts w:ascii="Calibri" w:hAnsi="Calibri" w:cs="Calibri"/>
          <w:color w:val="000000"/>
          <w:spacing w:val="-3"/>
          <w:sz w:val="22"/>
          <w:lang w:val="it-IT"/>
        </w:rPr>
      </w:pPr>
    </w:p>
    <w:p w14:paraId="381753BD" w14:textId="77777777" w:rsidR="001F58C4" w:rsidRPr="001F58C4" w:rsidRDefault="001F58C4" w:rsidP="00B96F5A">
      <w:pPr>
        <w:tabs>
          <w:tab w:val="left" w:pos="6086"/>
        </w:tabs>
        <w:jc w:val="both"/>
        <w:rPr>
          <w:rFonts w:asciiTheme="minorHAnsi" w:hAnsiTheme="minorHAnsi" w:cstheme="minorHAnsi"/>
          <w:sz w:val="22"/>
          <w:szCs w:val="22"/>
          <w:lang w:val="it-IT" w:eastAsia="en-US"/>
        </w:rPr>
      </w:pPr>
    </w:p>
    <w:sectPr w:rsidR="001F58C4" w:rsidRPr="001F58C4" w:rsidSect="0092748C">
      <w:headerReference w:type="default" r:id="rId9"/>
      <w:footerReference w:type="default" r:id="rId10"/>
      <w:pgSz w:w="12240" w:h="15840"/>
      <w:pgMar w:top="1090" w:right="1440" w:bottom="567" w:left="1440" w:header="1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137FF" w14:textId="77777777" w:rsidR="00F83C1B" w:rsidRDefault="00F83C1B">
      <w:r>
        <w:separator/>
      </w:r>
    </w:p>
  </w:endnote>
  <w:endnote w:type="continuationSeparator" w:id="0">
    <w:p w14:paraId="6BD864A1" w14:textId="77777777" w:rsidR="00F83C1B" w:rsidRDefault="00F8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F08E" w14:textId="52071172" w:rsidR="000976CC" w:rsidRPr="00A21454" w:rsidRDefault="0092748C" w:rsidP="00A21454">
    <w:pPr>
      <w:pStyle w:val="Fuzeile"/>
      <w:jc w:val="both"/>
      <w:rPr>
        <w:rFonts w:asciiTheme="minorHAnsi" w:hAnsiTheme="minorHAnsi"/>
        <w:iCs/>
        <w:sz w:val="18"/>
        <w:lang w:val="en-US"/>
      </w:rPr>
    </w:pPr>
    <w:r>
      <w:rPr>
        <w:rFonts w:asciiTheme="minorHAnsi" w:hAnsiTheme="minorHAnsi"/>
        <w:i/>
        <w:iCs/>
        <w:sz w:val="18"/>
      </w:rPr>
      <w:t xml:space="preserve"> </w:t>
    </w:r>
    <w:r w:rsidR="00A21454" w:rsidRPr="00A21454">
      <w:rPr>
        <w:rFonts w:asciiTheme="minorHAnsi" w:hAnsiTheme="minorHAnsi"/>
        <w:iCs/>
        <w:sz w:val="18"/>
        <w:lang w:val="en-GB"/>
      </w:rPr>
      <w:t>"The European Commission support for the production of this publication does not constitute an endorsement of the contents which reflects the views only of the authors, and the Commission cannot be held responsi</w:t>
    </w:r>
    <w:r w:rsidR="00A21454" w:rsidRPr="00A21454">
      <w:rPr>
        <w:rFonts w:asciiTheme="minorHAnsi" w:hAnsiTheme="minorHAnsi"/>
        <w:iCs/>
        <w:sz w:val="18"/>
        <w:lang w:val="en-GB"/>
      </w:rPr>
      <w:softHyphen/>
      <w:t xml:space="preserve">ble for any use which may be made of the information contained therein." </w:t>
    </w:r>
    <w:r w:rsidR="00A21454" w:rsidRPr="00A21454">
      <w:rPr>
        <w:rFonts w:asciiTheme="minorHAnsi" w:hAnsiTheme="minorHAnsi"/>
        <w:iCs/>
        <w:sz w:val="18"/>
        <w:lang w:val="en-US"/>
      </w:rPr>
      <w:t>2017-1-AT01-KA201-035034 – Engineering Literacy Online</w:t>
    </w:r>
  </w:p>
  <w:p w14:paraId="2E5BB915" w14:textId="77777777" w:rsidR="00A21454" w:rsidRDefault="00A214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DD11D" w14:textId="77777777" w:rsidR="00F83C1B" w:rsidRDefault="00F83C1B">
      <w:r>
        <w:separator/>
      </w:r>
    </w:p>
  </w:footnote>
  <w:footnote w:type="continuationSeparator" w:id="0">
    <w:p w14:paraId="408A60AC" w14:textId="77777777" w:rsidR="00F83C1B" w:rsidRDefault="00F8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25FD" w14:textId="77777777" w:rsidR="000976CC" w:rsidRDefault="00030C73">
    <w:pPr>
      <w:pStyle w:val="Kopfzeile"/>
    </w:pPr>
    <w:r w:rsidRPr="00C329FF">
      <w:rPr>
        <w:noProof/>
        <w:lang w:val="en-US" w:eastAsia="en-US"/>
      </w:rPr>
      <w:drawing>
        <wp:anchor distT="0" distB="0" distL="114300" distR="114300" simplePos="0" relativeHeight="251660288" behindDoc="0" locked="0" layoutInCell="1" allowOverlap="1" wp14:anchorId="79DD2A63" wp14:editId="34B008A8">
          <wp:simplePos x="0" y="0"/>
          <wp:positionH relativeFrom="margin">
            <wp:posOffset>4680585</wp:posOffset>
          </wp:positionH>
          <wp:positionV relativeFrom="paragraph">
            <wp:posOffset>-384810</wp:posOffset>
          </wp:positionV>
          <wp:extent cx="1287780" cy="325120"/>
          <wp:effectExtent l="0" t="0" r="7620"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325120"/>
                  </a:xfrm>
                  <a:prstGeom prst="rect">
                    <a:avLst/>
                  </a:prstGeom>
                </pic:spPr>
              </pic:pic>
            </a:graphicData>
          </a:graphic>
          <wp14:sizeRelH relativeFrom="page">
            <wp14:pctWidth>0</wp14:pctWidth>
          </wp14:sizeRelH>
          <wp14:sizeRelV relativeFrom="page">
            <wp14:pctHeight>0</wp14:pctHeight>
          </wp14:sizeRelV>
        </wp:anchor>
      </w:drawing>
    </w:r>
    <w:r w:rsidR="00E431F0">
      <w:rPr>
        <w:noProof/>
        <w:lang w:val="en-US" w:eastAsia="en-US"/>
      </w:rPr>
      <w:drawing>
        <wp:anchor distT="0" distB="0" distL="114300" distR="114300" simplePos="0" relativeHeight="251661312" behindDoc="1" locked="0" layoutInCell="1" allowOverlap="1" wp14:anchorId="6048F610" wp14:editId="6A14A644">
          <wp:simplePos x="0" y="0"/>
          <wp:positionH relativeFrom="column">
            <wp:posOffset>-22860</wp:posOffset>
          </wp:positionH>
          <wp:positionV relativeFrom="paragraph">
            <wp:posOffset>-469265</wp:posOffset>
          </wp:positionV>
          <wp:extent cx="1115695" cy="499110"/>
          <wp:effectExtent l="0" t="0" r="8255" b="0"/>
          <wp:wrapNone/>
          <wp:docPr id="4" name="Grafik 4" descr="Ein Bild, das ClipArt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ic logo.PNG"/>
                  <pic:cNvPicPr/>
                </pic:nvPicPr>
                <pic:blipFill>
                  <a:blip r:embed="rId2">
                    <a:extLst>
                      <a:ext uri="{28A0092B-C50C-407E-A947-70E740481C1C}">
                        <a14:useLocalDpi xmlns:a14="http://schemas.microsoft.com/office/drawing/2010/main" val="0"/>
                      </a:ext>
                    </a:extLst>
                  </a:blip>
                  <a:stretch>
                    <a:fillRect/>
                  </a:stretch>
                </pic:blipFill>
                <pic:spPr>
                  <a:xfrm>
                    <a:off x="0" y="0"/>
                    <a:ext cx="1115695" cy="4991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E43072"/>
    <w:lvl w:ilvl="0">
      <w:start w:val="1"/>
      <w:numFmt w:val="bullet"/>
      <w:pStyle w:val="Aufzhlungszeichen"/>
      <w:lvlText w:val=""/>
      <w:lvlJc w:val="left"/>
      <w:pPr>
        <w:tabs>
          <w:tab w:val="num" w:pos="567"/>
        </w:tabs>
        <w:ind w:left="567" w:hanging="360"/>
      </w:pPr>
      <w:rPr>
        <w:rFonts w:ascii="Symbol" w:hAnsi="Symbol" w:hint="default"/>
      </w:rPr>
    </w:lvl>
  </w:abstractNum>
  <w:abstractNum w:abstractNumId="1" w15:restartNumberingAfterBreak="0">
    <w:nsid w:val="01E2729D"/>
    <w:multiLevelType w:val="hybridMultilevel"/>
    <w:tmpl w:val="90CA389E"/>
    <w:lvl w:ilvl="0" w:tplc="0C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870B2"/>
    <w:multiLevelType w:val="hybridMultilevel"/>
    <w:tmpl w:val="C21A07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127E96"/>
    <w:multiLevelType w:val="hybridMultilevel"/>
    <w:tmpl w:val="26FCE4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FF34B7"/>
    <w:multiLevelType w:val="hybridMultilevel"/>
    <w:tmpl w:val="4FF49D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D6344AD"/>
    <w:multiLevelType w:val="hybridMultilevel"/>
    <w:tmpl w:val="813C4CE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362EAD"/>
    <w:multiLevelType w:val="hybridMultilevel"/>
    <w:tmpl w:val="CD5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D4E08"/>
    <w:multiLevelType w:val="hybridMultilevel"/>
    <w:tmpl w:val="C042296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FB5F0A"/>
    <w:multiLevelType w:val="hybridMultilevel"/>
    <w:tmpl w:val="9466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D6709"/>
    <w:multiLevelType w:val="hybridMultilevel"/>
    <w:tmpl w:val="FD98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74762"/>
    <w:multiLevelType w:val="hybridMultilevel"/>
    <w:tmpl w:val="8ED643D2"/>
    <w:lvl w:ilvl="0" w:tplc="0C07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15:restartNumberingAfterBreak="0">
    <w:nsid w:val="2E6D50B4"/>
    <w:multiLevelType w:val="hybridMultilevel"/>
    <w:tmpl w:val="8716EEBE"/>
    <w:lvl w:ilvl="0" w:tplc="04070001">
      <w:start w:val="1"/>
      <w:numFmt w:val="bullet"/>
      <w:lvlText w:val=""/>
      <w:lvlJc w:val="left"/>
      <w:pPr>
        <w:ind w:left="1080" w:hanging="360"/>
      </w:pPr>
      <w:rPr>
        <w:rFonts w:ascii="Symbol" w:hAnsi="Symbol"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3DD65D5"/>
    <w:multiLevelType w:val="hybridMultilevel"/>
    <w:tmpl w:val="C698339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6132770"/>
    <w:multiLevelType w:val="hybridMultilevel"/>
    <w:tmpl w:val="C31458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7061222"/>
    <w:multiLevelType w:val="hybridMultilevel"/>
    <w:tmpl w:val="05723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375031"/>
    <w:multiLevelType w:val="hybridMultilevel"/>
    <w:tmpl w:val="35F4257E"/>
    <w:lvl w:ilvl="0" w:tplc="0840DBF2">
      <w:start w:val="30"/>
      <w:numFmt w:val="bullet"/>
      <w:lvlText w:val="-"/>
      <w:lvlJc w:val="left"/>
      <w:pPr>
        <w:ind w:left="1080" w:hanging="360"/>
      </w:pPr>
      <w:rPr>
        <w:rFonts w:ascii="Calibri" w:eastAsia="Times New Roman" w:hAnsi="Calibri" w:cs="Calibri"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3E987C07"/>
    <w:multiLevelType w:val="hybridMultilevel"/>
    <w:tmpl w:val="D02A87A6"/>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2516AA"/>
    <w:multiLevelType w:val="hybridMultilevel"/>
    <w:tmpl w:val="5CC46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2FF7AE4"/>
    <w:multiLevelType w:val="hybridMultilevel"/>
    <w:tmpl w:val="7630A5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4912B60"/>
    <w:multiLevelType w:val="hybridMultilevel"/>
    <w:tmpl w:val="956E19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8A7675F"/>
    <w:multiLevelType w:val="hybridMultilevel"/>
    <w:tmpl w:val="D8D87224"/>
    <w:lvl w:ilvl="0" w:tplc="69D6BE08">
      <w:start w:val="1"/>
      <w:numFmt w:val="bullet"/>
      <w:lvlText w:val="•"/>
      <w:lvlJc w:val="left"/>
      <w:pPr>
        <w:tabs>
          <w:tab w:val="num" w:pos="720"/>
        </w:tabs>
        <w:ind w:left="720" w:hanging="360"/>
      </w:pPr>
      <w:rPr>
        <w:rFonts w:ascii="Arial" w:hAnsi="Arial" w:hint="default"/>
      </w:rPr>
    </w:lvl>
    <w:lvl w:ilvl="1" w:tplc="E6E461D2" w:tentative="1">
      <w:start w:val="1"/>
      <w:numFmt w:val="bullet"/>
      <w:lvlText w:val="•"/>
      <w:lvlJc w:val="left"/>
      <w:pPr>
        <w:tabs>
          <w:tab w:val="num" w:pos="1440"/>
        </w:tabs>
        <w:ind w:left="1440" w:hanging="360"/>
      </w:pPr>
      <w:rPr>
        <w:rFonts w:ascii="Arial" w:hAnsi="Arial" w:hint="default"/>
      </w:rPr>
    </w:lvl>
    <w:lvl w:ilvl="2" w:tplc="2EEA2210" w:tentative="1">
      <w:start w:val="1"/>
      <w:numFmt w:val="bullet"/>
      <w:lvlText w:val="•"/>
      <w:lvlJc w:val="left"/>
      <w:pPr>
        <w:tabs>
          <w:tab w:val="num" w:pos="2160"/>
        </w:tabs>
        <w:ind w:left="2160" w:hanging="360"/>
      </w:pPr>
      <w:rPr>
        <w:rFonts w:ascii="Arial" w:hAnsi="Arial" w:hint="default"/>
      </w:rPr>
    </w:lvl>
    <w:lvl w:ilvl="3" w:tplc="42F05146" w:tentative="1">
      <w:start w:val="1"/>
      <w:numFmt w:val="bullet"/>
      <w:lvlText w:val="•"/>
      <w:lvlJc w:val="left"/>
      <w:pPr>
        <w:tabs>
          <w:tab w:val="num" w:pos="2880"/>
        </w:tabs>
        <w:ind w:left="2880" w:hanging="360"/>
      </w:pPr>
      <w:rPr>
        <w:rFonts w:ascii="Arial" w:hAnsi="Arial" w:hint="default"/>
      </w:rPr>
    </w:lvl>
    <w:lvl w:ilvl="4" w:tplc="603EB19E" w:tentative="1">
      <w:start w:val="1"/>
      <w:numFmt w:val="bullet"/>
      <w:lvlText w:val="•"/>
      <w:lvlJc w:val="left"/>
      <w:pPr>
        <w:tabs>
          <w:tab w:val="num" w:pos="3600"/>
        </w:tabs>
        <w:ind w:left="3600" w:hanging="360"/>
      </w:pPr>
      <w:rPr>
        <w:rFonts w:ascii="Arial" w:hAnsi="Arial" w:hint="default"/>
      </w:rPr>
    </w:lvl>
    <w:lvl w:ilvl="5" w:tplc="6DCCAB46" w:tentative="1">
      <w:start w:val="1"/>
      <w:numFmt w:val="bullet"/>
      <w:lvlText w:val="•"/>
      <w:lvlJc w:val="left"/>
      <w:pPr>
        <w:tabs>
          <w:tab w:val="num" w:pos="4320"/>
        </w:tabs>
        <w:ind w:left="4320" w:hanging="360"/>
      </w:pPr>
      <w:rPr>
        <w:rFonts w:ascii="Arial" w:hAnsi="Arial" w:hint="default"/>
      </w:rPr>
    </w:lvl>
    <w:lvl w:ilvl="6" w:tplc="22206FCE" w:tentative="1">
      <w:start w:val="1"/>
      <w:numFmt w:val="bullet"/>
      <w:lvlText w:val="•"/>
      <w:lvlJc w:val="left"/>
      <w:pPr>
        <w:tabs>
          <w:tab w:val="num" w:pos="5040"/>
        </w:tabs>
        <w:ind w:left="5040" w:hanging="360"/>
      </w:pPr>
      <w:rPr>
        <w:rFonts w:ascii="Arial" w:hAnsi="Arial" w:hint="default"/>
      </w:rPr>
    </w:lvl>
    <w:lvl w:ilvl="7" w:tplc="9F3C51E0" w:tentative="1">
      <w:start w:val="1"/>
      <w:numFmt w:val="bullet"/>
      <w:lvlText w:val="•"/>
      <w:lvlJc w:val="left"/>
      <w:pPr>
        <w:tabs>
          <w:tab w:val="num" w:pos="5760"/>
        </w:tabs>
        <w:ind w:left="5760" w:hanging="360"/>
      </w:pPr>
      <w:rPr>
        <w:rFonts w:ascii="Arial" w:hAnsi="Arial" w:hint="default"/>
      </w:rPr>
    </w:lvl>
    <w:lvl w:ilvl="8" w:tplc="6BD2B5D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9CF51EE"/>
    <w:multiLevelType w:val="hybridMultilevel"/>
    <w:tmpl w:val="B44405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C483DC6"/>
    <w:multiLevelType w:val="hybridMultilevel"/>
    <w:tmpl w:val="0A28E92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0E7076A"/>
    <w:multiLevelType w:val="hybridMultilevel"/>
    <w:tmpl w:val="2AC42F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6055895"/>
    <w:multiLevelType w:val="hybridMultilevel"/>
    <w:tmpl w:val="24C27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E1C185E"/>
    <w:multiLevelType w:val="hybridMultilevel"/>
    <w:tmpl w:val="1E0C1CB8"/>
    <w:lvl w:ilvl="0" w:tplc="30E2988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81612"/>
    <w:multiLevelType w:val="hybridMultilevel"/>
    <w:tmpl w:val="7806E9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33F3AA1"/>
    <w:multiLevelType w:val="hybridMultilevel"/>
    <w:tmpl w:val="D6AE7150"/>
    <w:lvl w:ilvl="0" w:tplc="0840DBF2">
      <w:start w:val="30"/>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6A91D05"/>
    <w:multiLevelType w:val="hybridMultilevel"/>
    <w:tmpl w:val="AE0EC0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6D713DB"/>
    <w:multiLevelType w:val="hybridMultilevel"/>
    <w:tmpl w:val="D95081EE"/>
    <w:lvl w:ilvl="0" w:tplc="0C070015">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0" w15:restartNumberingAfterBreak="0">
    <w:nsid w:val="677674F9"/>
    <w:multiLevelType w:val="hybridMultilevel"/>
    <w:tmpl w:val="973ED188"/>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88921F6"/>
    <w:multiLevelType w:val="hybridMultilevel"/>
    <w:tmpl w:val="1E4235DA"/>
    <w:lvl w:ilvl="0" w:tplc="DB5A873A">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9E12591"/>
    <w:multiLevelType w:val="hybridMultilevel"/>
    <w:tmpl w:val="D862E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7D1D30"/>
    <w:multiLevelType w:val="hybridMultilevel"/>
    <w:tmpl w:val="C55AB84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0E2504A"/>
    <w:multiLevelType w:val="multilevel"/>
    <w:tmpl w:val="E4D2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2E68D3"/>
    <w:multiLevelType w:val="hybridMultilevel"/>
    <w:tmpl w:val="4272A358"/>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9575B9C"/>
    <w:multiLevelType w:val="hybridMultilevel"/>
    <w:tmpl w:val="077C7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A351867"/>
    <w:multiLevelType w:val="hybridMultilevel"/>
    <w:tmpl w:val="DA708DB8"/>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C1216DD"/>
    <w:multiLevelType w:val="hybridMultilevel"/>
    <w:tmpl w:val="4A96F17E"/>
    <w:lvl w:ilvl="0" w:tplc="499A09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150C36"/>
    <w:multiLevelType w:val="hybridMultilevel"/>
    <w:tmpl w:val="4B3E1EF4"/>
    <w:lvl w:ilvl="0" w:tplc="0840DBF2">
      <w:start w:val="30"/>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C1740B7"/>
    <w:multiLevelType w:val="hybridMultilevel"/>
    <w:tmpl w:val="D0D069FC"/>
    <w:lvl w:ilvl="0" w:tplc="04070001">
      <w:start w:val="1"/>
      <w:numFmt w:val="bullet"/>
      <w:lvlText w:val=""/>
      <w:lvlJc w:val="left"/>
      <w:pPr>
        <w:ind w:left="720" w:hanging="360"/>
      </w:pPr>
      <w:rPr>
        <w:rFonts w:ascii="Symbol" w:hAnsi="Symbol"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9"/>
  </w:num>
  <w:num w:numId="4">
    <w:abstractNumId w:val="24"/>
  </w:num>
  <w:num w:numId="5">
    <w:abstractNumId w:val="2"/>
  </w:num>
  <w:num w:numId="6">
    <w:abstractNumId w:val="4"/>
  </w:num>
  <w:num w:numId="7">
    <w:abstractNumId w:val="21"/>
  </w:num>
  <w:num w:numId="8">
    <w:abstractNumId w:val="14"/>
  </w:num>
  <w:num w:numId="9">
    <w:abstractNumId w:val="11"/>
  </w:num>
  <w:num w:numId="10">
    <w:abstractNumId w:val="40"/>
  </w:num>
  <w:num w:numId="11">
    <w:abstractNumId w:val="26"/>
  </w:num>
  <w:num w:numId="12">
    <w:abstractNumId w:val="17"/>
  </w:num>
  <w:num w:numId="13">
    <w:abstractNumId w:val="27"/>
  </w:num>
  <w:num w:numId="14">
    <w:abstractNumId w:val="37"/>
  </w:num>
  <w:num w:numId="15">
    <w:abstractNumId w:val="18"/>
  </w:num>
  <w:num w:numId="16">
    <w:abstractNumId w:val="19"/>
  </w:num>
  <w:num w:numId="17">
    <w:abstractNumId w:val="35"/>
  </w:num>
  <w:num w:numId="18">
    <w:abstractNumId w:val="16"/>
  </w:num>
  <w:num w:numId="19">
    <w:abstractNumId w:val="36"/>
  </w:num>
  <w:num w:numId="20">
    <w:abstractNumId w:val="33"/>
  </w:num>
  <w:num w:numId="21">
    <w:abstractNumId w:val="7"/>
  </w:num>
  <w:num w:numId="22">
    <w:abstractNumId w:val="22"/>
  </w:num>
  <w:num w:numId="23">
    <w:abstractNumId w:val="30"/>
  </w:num>
  <w:num w:numId="24">
    <w:abstractNumId w:val="15"/>
  </w:num>
  <w:num w:numId="25">
    <w:abstractNumId w:val="34"/>
  </w:num>
  <w:num w:numId="26">
    <w:abstractNumId w:val="31"/>
  </w:num>
  <w:num w:numId="27">
    <w:abstractNumId w:val="5"/>
  </w:num>
  <w:num w:numId="28">
    <w:abstractNumId w:val="8"/>
  </w:num>
  <w:num w:numId="29">
    <w:abstractNumId w:val="6"/>
  </w:num>
  <w:num w:numId="30">
    <w:abstractNumId w:val="9"/>
  </w:num>
  <w:num w:numId="31">
    <w:abstractNumId w:val="28"/>
  </w:num>
  <w:num w:numId="32">
    <w:abstractNumId w:val="13"/>
  </w:num>
  <w:num w:numId="33">
    <w:abstractNumId w:val="23"/>
  </w:num>
  <w:num w:numId="34">
    <w:abstractNumId w:val="3"/>
  </w:num>
  <w:num w:numId="35">
    <w:abstractNumId w:val="29"/>
  </w:num>
  <w:num w:numId="36">
    <w:abstractNumId w:val="32"/>
  </w:num>
  <w:num w:numId="37">
    <w:abstractNumId w:val="20"/>
  </w:num>
  <w:num w:numId="38">
    <w:abstractNumId w:val="38"/>
  </w:num>
  <w:num w:numId="39">
    <w:abstractNumId w:val="25"/>
  </w:num>
  <w:num w:numId="40">
    <w:abstractNumId w:val="1"/>
  </w:num>
  <w:num w:numId="41">
    <w:abstractNumId w:val="10"/>
  </w:num>
  <w:num w:numId="42">
    <w:abstractNumId w:val="20"/>
    <w:lvlOverride w:ilvl="0"/>
    <w:lvlOverride w:ilvl="1"/>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E4"/>
    <w:rsid w:val="00000C5F"/>
    <w:rsid w:val="00002781"/>
    <w:rsid w:val="0001048F"/>
    <w:rsid w:val="000118CD"/>
    <w:rsid w:val="000137FF"/>
    <w:rsid w:val="00025961"/>
    <w:rsid w:val="0002698F"/>
    <w:rsid w:val="00030C73"/>
    <w:rsid w:val="000363C9"/>
    <w:rsid w:val="000466E3"/>
    <w:rsid w:val="00050329"/>
    <w:rsid w:val="0005419B"/>
    <w:rsid w:val="00056B85"/>
    <w:rsid w:val="00060AB5"/>
    <w:rsid w:val="00066D8B"/>
    <w:rsid w:val="00074639"/>
    <w:rsid w:val="000754AD"/>
    <w:rsid w:val="00077274"/>
    <w:rsid w:val="000817CC"/>
    <w:rsid w:val="00083D60"/>
    <w:rsid w:val="00086D2B"/>
    <w:rsid w:val="000915A8"/>
    <w:rsid w:val="000924DA"/>
    <w:rsid w:val="00092F56"/>
    <w:rsid w:val="00094C8B"/>
    <w:rsid w:val="000976CC"/>
    <w:rsid w:val="000A15BE"/>
    <w:rsid w:val="000A571E"/>
    <w:rsid w:val="000A7DAF"/>
    <w:rsid w:val="000B267C"/>
    <w:rsid w:val="000B6A79"/>
    <w:rsid w:val="000C29E4"/>
    <w:rsid w:val="000C5A86"/>
    <w:rsid w:val="000D3A5B"/>
    <w:rsid w:val="000E3C42"/>
    <w:rsid w:val="000E72D1"/>
    <w:rsid w:val="000E7596"/>
    <w:rsid w:val="000F49BF"/>
    <w:rsid w:val="00100E96"/>
    <w:rsid w:val="001059EF"/>
    <w:rsid w:val="0011038D"/>
    <w:rsid w:val="001139FA"/>
    <w:rsid w:val="00116D12"/>
    <w:rsid w:val="001309B3"/>
    <w:rsid w:val="00132CCC"/>
    <w:rsid w:val="001338BF"/>
    <w:rsid w:val="00142074"/>
    <w:rsid w:val="00160486"/>
    <w:rsid w:val="0016167A"/>
    <w:rsid w:val="00166E81"/>
    <w:rsid w:val="001703C1"/>
    <w:rsid w:val="0017364E"/>
    <w:rsid w:val="00184F7D"/>
    <w:rsid w:val="00186E84"/>
    <w:rsid w:val="001A2DBF"/>
    <w:rsid w:val="001A4C43"/>
    <w:rsid w:val="001A5B79"/>
    <w:rsid w:val="001A64F3"/>
    <w:rsid w:val="001A7A33"/>
    <w:rsid w:val="001B4604"/>
    <w:rsid w:val="001B67D5"/>
    <w:rsid w:val="001C0414"/>
    <w:rsid w:val="001C4828"/>
    <w:rsid w:val="001D4581"/>
    <w:rsid w:val="001E3C2C"/>
    <w:rsid w:val="001E65F7"/>
    <w:rsid w:val="001F1739"/>
    <w:rsid w:val="001F1788"/>
    <w:rsid w:val="001F4F96"/>
    <w:rsid w:val="001F58C4"/>
    <w:rsid w:val="001F6293"/>
    <w:rsid w:val="001F7291"/>
    <w:rsid w:val="00205EF2"/>
    <w:rsid w:val="00213369"/>
    <w:rsid w:val="00220A73"/>
    <w:rsid w:val="00231430"/>
    <w:rsid w:val="002319A3"/>
    <w:rsid w:val="00242DFA"/>
    <w:rsid w:val="00250264"/>
    <w:rsid w:val="0025063A"/>
    <w:rsid w:val="00260084"/>
    <w:rsid w:val="002670F9"/>
    <w:rsid w:val="00287063"/>
    <w:rsid w:val="002B37B2"/>
    <w:rsid w:val="002B4DF6"/>
    <w:rsid w:val="002D0764"/>
    <w:rsid w:val="002E06F2"/>
    <w:rsid w:val="0030142D"/>
    <w:rsid w:val="0032148D"/>
    <w:rsid w:val="003220BB"/>
    <w:rsid w:val="003234ED"/>
    <w:rsid w:val="003314AB"/>
    <w:rsid w:val="00333254"/>
    <w:rsid w:val="00352AC8"/>
    <w:rsid w:val="003616B0"/>
    <w:rsid w:val="003919D3"/>
    <w:rsid w:val="003A6B11"/>
    <w:rsid w:val="003A6DB8"/>
    <w:rsid w:val="003A70C5"/>
    <w:rsid w:val="003A7308"/>
    <w:rsid w:val="003C2DCA"/>
    <w:rsid w:val="003C4B2A"/>
    <w:rsid w:val="003F694D"/>
    <w:rsid w:val="00400971"/>
    <w:rsid w:val="00402146"/>
    <w:rsid w:val="004039FE"/>
    <w:rsid w:val="00412433"/>
    <w:rsid w:val="00422C73"/>
    <w:rsid w:val="00424B2B"/>
    <w:rsid w:val="00426E2C"/>
    <w:rsid w:val="004339DD"/>
    <w:rsid w:val="00434787"/>
    <w:rsid w:val="00435CBA"/>
    <w:rsid w:val="00435DB8"/>
    <w:rsid w:val="00437830"/>
    <w:rsid w:val="00441601"/>
    <w:rsid w:val="00444382"/>
    <w:rsid w:val="0044453E"/>
    <w:rsid w:val="004466EF"/>
    <w:rsid w:val="00446D31"/>
    <w:rsid w:val="00467316"/>
    <w:rsid w:val="004720F5"/>
    <w:rsid w:val="00472B30"/>
    <w:rsid w:val="00477A35"/>
    <w:rsid w:val="0048228F"/>
    <w:rsid w:val="004845D9"/>
    <w:rsid w:val="00497B70"/>
    <w:rsid w:val="004A0847"/>
    <w:rsid w:val="004A5EAE"/>
    <w:rsid w:val="004A72C1"/>
    <w:rsid w:val="004B2BBC"/>
    <w:rsid w:val="004C0EA9"/>
    <w:rsid w:val="004C42BE"/>
    <w:rsid w:val="004C724F"/>
    <w:rsid w:val="004D2698"/>
    <w:rsid w:val="004D7C2B"/>
    <w:rsid w:val="004E2F94"/>
    <w:rsid w:val="004F4BE8"/>
    <w:rsid w:val="005024CB"/>
    <w:rsid w:val="00514AF3"/>
    <w:rsid w:val="00517325"/>
    <w:rsid w:val="005257CC"/>
    <w:rsid w:val="005261EC"/>
    <w:rsid w:val="005312D9"/>
    <w:rsid w:val="00531610"/>
    <w:rsid w:val="00543173"/>
    <w:rsid w:val="00551315"/>
    <w:rsid w:val="0055785F"/>
    <w:rsid w:val="00557F36"/>
    <w:rsid w:val="00562D04"/>
    <w:rsid w:val="00562F07"/>
    <w:rsid w:val="00563871"/>
    <w:rsid w:val="0056799A"/>
    <w:rsid w:val="00570159"/>
    <w:rsid w:val="00570739"/>
    <w:rsid w:val="0057105D"/>
    <w:rsid w:val="005738A8"/>
    <w:rsid w:val="00576402"/>
    <w:rsid w:val="00584716"/>
    <w:rsid w:val="005913B4"/>
    <w:rsid w:val="00594C1E"/>
    <w:rsid w:val="005B5B6C"/>
    <w:rsid w:val="005D78AA"/>
    <w:rsid w:val="005E0FE0"/>
    <w:rsid w:val="005E4216"/>
    <w:rsid w:val="0060274B"/>
    <w:rsid w:val="0060746A"/>
    <w:rsid w:val="0061060F"/>
    <w:rsid w:val="006220C1"/>
    <w:rsid w:val="00626CF0"/>
    <w:rsid w:val="0062753D"/>
    <w:rsid w:val="006358E3"/>
    <w:rsid w:val="006403A2"/>
    <w:rsid w:val="00640AC1"/>
    <w:rsid w:val="006420A4"/>
    <w:rsid w:val="0065053C"/>
    <w:rsid w:val="00655DDC"/>
    <w:rsid w:val="006702DF"/>
    <w:rsid w:val="0067282F"/>
    <w:rsid w:val="00672A54"/>
    <w:rsid w:val="00673BCC"/>
    <w:rsid w:val="00694735"/>
    <w:rsid w:val="0069667F"/>
    <w:rsid w:val="006975F0"/>
    <w:rsid w:val="006A4F4E"/>
    <w:rsid w:val="006A587B"/>
    <w:rsid w:val="006A6328"/>
    <w:rsid w:val="006A71E9"/>
    <w:rsid w:val="006A74F6"/>
    <w:rsid w:val="006B1AA2"/>
    <w:rsid w:val="006B41CE"/>
    <w:rsid w:val="006B721E"/>
    <w:rsid w:val="006D21B5"/>
    <w:rsid w:val="006E2464"/>
    <w:rsid w:val="006E7BE0"/>
    <w:rsid w:val="006F2D68"/>
    <w:rsid w:val="006F2DAE"/>
    <w:rsid w:val="0071135C"/>
    <w:rsid w:val="00712256"/>
    <w:rsid w:val="00714969"/>
    <w:rsid w:val="00717E96"/>
    <w:rsid w:val="00721A35"/>
    <w:rsid w:val="00726A8B"/>
    <w:rsid w:val="0076233E"/>
    <w:rsid w:val="00786185"/>
    <w:rsid w:val="00786C75"/>
    <w:rsid w:val="007952B7"/>
    <w:rsid w:val="0079686C"/>
    <w:rsid w:val="007A162E"/>
    <w:rsid w:val="007A36A8"/>
    <w:rsid w:val="007B2134"/>
    <w:rsid w:val="007B4FF5"/>
    <w:rsid w:val="007D1E7E"/>
    <w:rsid w:val="007E213F"/>
    <w:rsid w:val="007E5199"/>
    <w:rsid w:val="007F0099"/>
    <w:rsid w:val="007F095F"/>
    <w:rsid w:val="007F0A78"/>
    <w:rsid w:val="007F0E7B"/>
    <w:rsid w:val="007F3007"/>
    <w:rsid w:val="007F468F"/>
    <w:rsid w:val="007F55D0"/>
    <w:rsid w:val="007F66DA"/>
    <w:rsid w:val="0081032C"/>
    <w:rsid w:val="00812CED"/>
    <w:rsid w:val="00813712"/>
    <w:rsid w:val="00815B00"/>
    <w:rsid w:val="0082641A"/>
    <w:rsid w:val="00827F05"/>
    <w:rsid w:val="00830F9E"/>
    <w:rsid w:val="00833248"/>
    <w:rsid w:val="00841164"/>
    <w:rsid w:val="00847C4F"/>
    <w:rsid w:val="0085513D"/>
    <w:rsid w:val="00857760"/>
    <w:rsid w:val="0087237C"/>
    <w:rsid w:val="00876735"/>
    <w:rsid w:val="00884378"/>
    <w:rsid w:val="00885FA7"/>
    <w:rsid w:val="0088640F"/>
    <w:rsid w:val="008A0A47"/>
    <w:rsid w:val="008A4983"/>
    <w:rsid w:val="008A5282"/>
    <w:rsid w:val="008C6E02"/>
    <w:rsid w:val="008E322B"/>
    <w:rsid w:val="008E6355"/>
    <w:rsid w:val="008F0CA2"/>
    <w:rsid w:val="008F4BBF"/>
    <w:rsid w:val="00901B99"/>
    <w:rsid w:val="009049A1"/>
    <w:rsid w:val="009058DB"/>
    <w:rsid w:val="00910C8D"/>
    <w:rsid w:val="00916221"/>
    <w:rsid w:val="00917CE9"/>
    <w:rsid w:val="0092303B"/>
    <w:rsid w:val="009233BB"/>
    <w:rsid w:val="00927303"/>
    <w:rsid w:val="0092748C"/>
    <w:rsid w:val="0093739F"/>
    <w:rsid w:val="009377F7"/>
    <w:rsid w:val="0094027C"/>
    <w:rsid w:val="00943881"/>
    <w:rsid w:val="009462C5"/>
    <w:rsid w:val="00947555"/>
    <w:rsid w:val="00950DCD"/>
    <w:rsid w:val="009510D3"/>
    <w:rsid w:val="009517A4"/>
    <w:rsid w:val="00961651"/>
    <w:rsid w:val="00962E02"/>
    <w:rsid w:val="009713A6"/>
    <w:rsid w:val="00985696"/>
    <w:rsid w:val="0099420C"/>
    <w:rsid w:val="00995BFE"/>
    <w:rsid w:val="009A61E4"/>
    <w:rsid w:val="009B0C6E"/>
    <w:rsid w:val="009B2026"/>
    <w:rsid w:val="009B5490"/>
    <w:rsid w:val="009D0EE2"/>
    <w:rsid w:val="009E7042"/>
    <w:rsid w:val="009F069F"/>
    <w:rsid w:val="009F32F4"/>
    <w:rsid w:val="009F4DCA"/>
    <w:rsid w:val="00A00F6F"/>
    <w:rsid w:val="00A037B6"/>
    <w:rsid w:val="00A21454"/>
    <w:rsid w:val="00A219EB"/>
    <w:rsid w:val="00A22861"/>
    <w:rsid w:val="00A234A0"/>
    <w:rsid w:val="00A3384B"/>
    <w:rsid w:val="00A421FF"/>
    <w:rsid w:val="00A45649"/>
    <w:rsid w:val="00A472AE"/>
    <w:rsid w:val="00A524F0"/>
    <w:rsid w:val="00A53029"/>
    <w:rsid w:val="00A54FC3"/>
    <w:rsid w:val="00A70137"/>
    <w:rsid w:val="00A737D9"/>
    <w:rsid w:val="00A7451C"/>
    <w:rsid w:val="00A75E6F"/>
    <w:rsid w:val="00A80BAA"/>
    <w:rsid w:val="00A830A2"/>
    <w:rsid w:val="00AA72E8"/>
    <w:rsid w:val="00AC3947"/>
    <w:rsid w:val="00AC728D"/>
    <w:rsid w:val="00AD0D57"/>
    <w:rsid w:val="00B00878"/>
    <w:rsid w:val="00B06709"/>
    <w:rsid w:val="00B13813"/>
    <w:rsid w:val="00B17914"/>
    <w:rsid w:val="00B17DC0"/>
    <w:rsid w:val="00B23523"/>
    <w:rsid w:val="00B30861"/>
    <w:rsid w:val="00B370F9"/>
    <w:rsid w:val="00B55607"/>
    <w:rsid w:val="00B83CD0"/>
    <w:rsid w:val="00B91931"/>
    <w:rsid w:val="00B96F5A"/>
    <w:rsid w:val="00BA25AA"/>
    <w:rsid w:val="00BA6514"/>
    <w:rsid w:val="00BB5F56"/>
    <w:rsid w:val="00BC0275"/>
    <w:rsid w:val="00BD2D00"/>
    <w:rsid w:val="00BD46C9"/>
    <w:rsid w:val="00BE1D0E"/>
    <w:rsid w:val="00BE63E7"/>
    <w:rsid w:val="00BE64A0"/>
    <w:rsid w:val="00BF3E01"/>
    <w:rsid w:val="00BF44DB"/>
    <w:rsid w:val="00BF493E"/>
    <w:rsid w:val="00BF6DFD"/>
    <w:rsid w:val="00C0053F"/>
    <w:rsid w:val="00C171F9"/>
    <w:rsid w:val="00C17E84"/>
    <w:rsid w:val="00C23238"/>
    <w:rsid w:val="00C329FF"/>
    <w:rsid w:val="00C34F34"/>
    <w:rsid w:val="00C37B8F"/>
    <w:rsid w:val="00C40519"/>
    <w:rsid w:val="00C42232"/>
    <w:rsid w:val="00C423BA"/>
    <w:rsid w:val="00C51C57"/>
    <w:rsid w:val="00C64A30"/>
    <w:rsid w:val="00C64EBD"/>
    <w:rsid w:val="00C67B58"/>
    <w:rsid w:val="00C738E5"/>
    <w:rsid w:val="00C77397"/>
    <w:rsid w:val="00C77643"/>
    <w:rsid w:val="00C97157"/>
    <w:rsid w:val="00CB6688"/>
    <w:rsid w:val="00CC2977"/>
    <w:rsid w:val="00CC4ABB"/>
    <w:rsid w:val="00CC6D16"/>
    <w:rsid w:val="00CD665D"/>
    <w:rsid w:val="00CE1B86"/>
    <w:rsid w:val="00CE289D"/>
    <w:rsid w:val="00CF3CE1"/>
    <w:rsid w:val="00CF5C08"/>
    <w:rsid w:val="00D03C0C"/>
    <w:rsid w:val="00D07123"/>
    <w:rsid w:val="00D17437"/>
    <w:rsid w:val="00D21A81"/>
    <w:rsid w:val="00D22074"/>
    <w:rsid w:val="00D23384"/>
    <w:rsid w:val="00D2373A"/>
    <w:rsid w:val="00D30246"/>
    <w:rsid w:val="00D3071C"/>
    <w:rsid w:val="00D469F8"/>
    <w:rsid w:val="00D47151"/>
    <w:rsid w:val="00D51E06"/>
    <w:rsid w:val="00D52597"/>
    <w:rsid w:val="00D706A4"/>
    <w:rsid w:val="00D71481"/>
    <w:rsid w:val="00D7297A"/>
    <w:rsid w:val="00D73275"/>
    <w:rsid w:val="00D76966"/>
    <w:rsid w:val="00D77662"/>
    <w:rsid w:val="00D80C9C"/>
    <w:rsid w:val="00D86E8B"/>
    <w:rsid w:val="00D93DC4"/>
    <w:rsid w:val="00D9496C"/>
    <w:rsid w:val="00D972FE"/>
    <w:rsid w:val="00D975A1"/>
    <w:rsid w:val="00DA1AAA"/>
    <w:rsid w:val="00DA62EE"/>
    <w:rsid w:val="00DB0F11"/>
    <w:rsid w:val="00DB1E67"/>
    <w:rsid w:val="00DB566E"/>
    <w:rsid w:val="00DB62F9"/>
    <w:rsid w:val="00DB7C3D"/>
    <w:rsid w:val="00DC3DBA"/>
    <w:rsid w:val="00DD1147"/>
    <w:rsid w:val="00DD2D6C"/>
    <w:rsid w:val="00E025B4"/>
    <w:rsid w:val="00E044A8"/>
    <w:rsid w:val="00E07E26"/>
    <w:rsid w:val="00E12823"/>
    <w:rsid w:val="00E22F1C"/>
    <w:rsid w:val="00E22F61"/>
    <w:rsid w:val="00E23516"/>
    <w:rsid w:val="00E32C67"/>
    <w:rsid w:val="00E35E1E"/>
    <w:rsid w:val="00E42425"/>
    <w:rsid w:val="00E431F0"/>
    <w:rsid w:val="00E52443"/>
    <w:rsid w:val="00E5322B"/>
    <w:rsid w:val="00E548F3"/>
    <w:rsid w:val="00E62055"/>
    <w:rsid w:val="00E80903"/>
    <w:rsid w:val="00E81DF7"/>
    <w:rsid w:val="00E90C63"/>
    <w:rsid w:val="00E9459E"/>
    <w:rsid w:val="00E970F3"/>
    <w:rsid w:val="00EA651D"/>
    <w:rsid w:val="00EB19CD"/>
    <w:rsid w:val="00EB685F"/>
    <w:rsid w:val="00EC7C92"/>
    <w:rsid w:val="00ED3F5F"/>
    <w:rsid w:val="00ED67E3"/>
    <w:rsid w:val="00EE55E0"/>
    <w:rsid w:val="00EF125D"/>
    <w:rsid w:val="00F02E63"/>
    <w:rsid w:val="00F177E5"/>
    <w:rsid w:val="00F3468F"/>
    <w:rsid w:val="00F357B3"/>
    <w:rsid w:val="00F35AE4"/>
    <w:rsid w:val="00F36469"/>
    <w:rsid w:val="00F43ECA"/>
    <w:rsid w:val="00F50F2C"/>
    <w:rsid w:val="00F559FE"/>
    <w:rsid w:val="00F55CD3"/>
    <w:rsid w:val="00F677BB"/>
    <w:rsid w:val="00F717E4"/>
    <w:rsid w:val="00F72C75"/>
    <w:rsid w:val="00F7627B"/>
    <w:rsid w:val="00F83C1B"/>
    <w:rsid w:val="00F9153C"/>
    <w:rsid w:val="00F978A0"/>
    <w:rsid w:val="00FA7816"/>
    <w:rsid w:val="00FB5A46"/>
    <w:rsid w:val="00FD0047"/>
    <w:rsid w:val="00FD7CB3"/>
    <w:rsid w:val="00FE1BEA"/>
    <w:rsid w:val="00FE2B8D"/>
    <w:rsid w:val="00FF3A30"/>
    <w:rsid w:val="00FF46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77CD7EB"/>
  <w15:docId w15:val="{F5192205-C8DF-4AD9-B3F5-FC1382C3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75A1"/>
    <w:rPr>
      <w:rFonts w:ascii="Arial" w:eastAsia="Times New Roman" w:hAnsi="Arial"/>
      <w:sz w:val="24"/>
      <w:szCs w:val="24"/>
      <w:lang w:val="cs-CZ" w:eastAsia="cs-CZ"/>
    </w:rPr>
  </w:style>
  <w:style w:type="paragraph" w:styleId="berschrift1">
    <w:name w:val="heading 1"/>
    <w:basedOn w:val="Standard"/>
    <w:next w:val="Standard"/>
    <w:link w:val="berschrift1Zchn"/>
    <w:qFormat/>
    <w:rsid w:val="003A7308"/>
    <w:pPr>
      <w:keepNext/>
      <w:spacing w:before="240" w:after="60"/>
      <w:outlineLvl w:val="0"/>
    </w:pPr>
    <w:rPr>
      <w:b/>
      <w:sz w:val="32"/>
      <w:szCs w:val="20"/>
      <w:lang w:val="en-US" w:eastAsia="en-US"/>
    </w:rPr>
  </w:style>
  <w:style w:type="paragraph" w:styleId="berschrift2">
    <w:name w:val="heading 2"/>
    <w:basedOn w:val="Standard"/>
    <w:next w:val="Standard"/>
    <w:link w:val="berschrift2Zchn"/>
    <w:qFormat/>
    <w:rsid w:val="003A7308"/>
    <w:pPr>
      <w:keepNext/>
      <w:spacing w:before="240" w:after="60"/>
      <w:outlineLvl w:val="1"/>
    </w:pPr>
    <w:rPr>
      <w:b/>
      <w:i/>
      <w:sz w:val="28"/>
      <w:szCs w:val="20"/>
      <w:lang w:val="en-US" w:eastAsia="en-US"/>
    </w:rPr>
  </w:style>
  <w:style w:type="paragraph" w:styleId="berschrift9">
    <w:name w:val="heading 9"/>
    <w:basedOn w:val="Standard"/>
    <w:next w:val="Standard"/>
    <w:link w:val="berschrift9Zchn"/>
    <w:qFormat/>
    <w:rsid w:val="003A7308"/>
    <w:pPr>
      <w:keepNext/>
      <w:spacing w:line="480" w:lineRule="atLeast"/>
      <w:outlineLvl w:val="8"/>
    </w:pPr>
    <w:rPr>
      <w:rFonts w:cs="Arial"/>
      <w:b/>
      <w:i/>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C2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foelenco1">
    <w:name w:val="Paragrafo elenco1"/>
    <w:basedOn w:val="Standard"/>
    <w:uiPriority w:val="34"/>
    <w:qFormat/>
    <w:rsid w:val="000C29E4"/>
    <w:pPr>
      <w:ind w:left="720"/>
      <w:contextualSpacing/>
    </w:pPr>
  </w:style>
  <w:style w:type="paragraph" w:styleId="Kopfzeile">
    <w:name w:val="header"/>
    <w:basedOn w:val="Standard"/>
    <w:link w:val="KopfzeileZchn"/>
    <w:uiPriority w:val="99"/>
    <w:rsid w:val="00BD46C9"/>
    <w:pPr>
      <w:tabs>
        <w:tab w:val="center" w:pos="4819"/>
        <w:tab w:val="right" w:pos="9638"/>
      </w:tabs>
    </w:pPr>
  </w:style>
  <w:style w:type="paragraph" w:styleId="Fuzeile">
    <w:name w:val="footer"/>
    <w:basedOn w:val="Standard"/>
    <w:rsid w:val="00BD46C9"/>
    <w:pPr>
      <w:tabs>
        <w:tab w:val="center" w:pos="4819"/>
        <w:tab w:val="right" w:pos="9638"/>
      </w:tabs>
    </w:pPr>
  </w:style>
  <w:style w:type="paragraph" w:styleId="Sprechblasentext">
    <w:name w:val="Balloon Text"/>
    <w:basedOn w:val="Standard"/>
    <w:link w:val="SprechblasentextZchn"/>
    <w:rsid w:val="0048228F"/>
    <w:rPr>
      <w:rFonts w:ascii="Tahoma" w:hAnsi="Tahoma" w:cs="Tahoma"/>
      <w:sz w:val="16"/>
      <w:szCs w:val="16"/>
    </w:rPr>
  </w:style>
  <w:style w:type="character" w:customStyle="1" w:styleId="SprechblasentextZchn">
    <w:name w:val="Sprechblasentext Zchn"/>
    <w:basedOn w:val="Absatz-Standardschriftart"/>
    <w:link w:val="Sprechblasentext"/>
    <w:rsid w:val="0048228F"/>
    <w:rPr>
      <w:rFonts w:ascii="Tahoma" w:eastAsia="Times New Roman" w:hAnsi="Tahoma" w:cs="Tahoma"/>
      <w:sz w:val="16"/>
      <w:szCs w:val="16"/>
      <w:lang w:val="cs-CZ" w:eastAsia="cs-CZ"/>
    </w:rPr>
  </w:style>
  <w:style w:type="character" w:customStyle="1" w:styleId="artsem1">
    <w:name w:val="artsem1"/>
    <w:basedOn w:val="Absatz-Standardschriftart"/>
    <w:rsid w:val="00C23238"/>
    <w:rPr>
      <w:vanish w:val="0"/>
      <w:webHidden w:val="0"/>
      <w:specVanish w:val="0"/>
    </w:rPr>
  </w:style>
  <w:style w:type="paragraph" w:styleId="Listenabsatz">
    <w:name w:val="List Paragraph"/>
    <w:basedOn w:val="Standard"/>
    <w:uiPriority w:val="34"/>
    <w:qFormat/>
    <w:rsid w:val="006B721E"/>
    <w:pPr>
      <w:ind w:left="720"/>
      <w:contextualSpacing/>
    </w:pPr>
  </w:style>
  <w:style w:type="paragraph" w:styleId="Endnotentext">
    <w:name w:val="endnote text"/>
    <w:basedOn w:val="Standard"/>
    <w:link w:val="EndnotentextZchn"/>
    <w:rsid w:val="0065053C"/>
    <w:rPr>
      <w:sz w:val="20"/>
      <w:szCs w:val="20"/>
    </w:rPr>
  </w:style>
  <w:style w:type="character" w:customStyle="1" w:styleId="EndnotentextZchn">
    <w:name w:val="Endnotentext Zchn"/>
    <w:basedOn w:val="Absatz-Standardschriftart"/>
    <w:link w:val="Endnotentext"/>
    <w:rsid w:val="0065053C"/>
    <w:rPr>
      <w:rFonts w:ascii="Arial" w:eastAsia="Times New Roman" w:hAnsi="Arial"/>
      <w:lang w:val="cs-CZ" w:eastAsia="cs-CZ"/>
    </w:rPr>
  </w:style>
  <w:style w:type="character" w:styleId="Endnotenzeichen">
    <w:name w:val="endnote reference"/>
    <w:basedOn w:val="Absatz-Standardschriftart"/>
    <w:rsid w:val="0065053C"/>
    <w:rPr>
      <w:vertAlign w:val="superscript"/>
    </w:rPr>
  </w:style>
  <w:style w:type="paragraph" w:styleId="Funotentext">
    <w:name w:val="footnote text"/>
    <w:basedOn w:val="Standard"/>
    <w:link w:val="FunotentextZchn"/>
    <w:rsid w:val="00D77662"/>
  </w:style>
  <w:style w:type="character" w:customStyle="1" w:styleId="FunotentextZchn">
    <w:name w:val="Fußnotentext Zchn"/>
    <w:basedOn w:val="Absatz-Standardschriftart"/>
    <w:link w:val="Funotentext"/>
    <w:rsid w:val="00D77662"/>
    <w:rPr>
      <w:rFonts w:ascii="Arial" w:eastAsia="Times New Roman" w:hAnsi="Arial"/>
      <w:sz w:val="24"/>
      <w:szCs w:val="24"/>
      <w:lang w:val="cs-CZ" w:eastAsia="cs-CZ"/>
    </w:rPr>
  </w:style>
  <w:style w:type="character" w:styleId="Funotenzeichen">
    <w:name w:val="footnote reference"/>
    <w:basedOn w:val="Absatz-Standardschriftart"/>
    <w:rsid w:val="00D77662"/>
    <w:rPr>
      <w:vertAlign w:val="superscript"/>
    </w:rPr>
  </w:style>
  <w:style w:type="paragraph" w:styleId="Aufzhlungszeichen">
    <w:name w:val="List Bullet"/>
    <w:basedOn w:val="Standard"/>
    <w:rsid w:val="00C67B58"/>
    <w:pPr>
      <w:numPr>
        <w:numId w:val="1"/>
      </w:numPr>
      <w:contextualSpacing/>
    </w:pPr>
  </w:style>
  <w:style w:type="character" w:customStyle="1" w:styleId="berschrift1Zchn">
    <w:name w:val="Überschrift 1 Zchn"/>
    <w:basedOn w:val="Absatz-Standardschriftart"/>
    <w:link w:val="berschrift1"/>
    <w:rsid w:val="003A7308"/>
    <w:rPr>
      <w:rFonts w:ascii="Arial" w:eastAsia="Times New Roman" w:hAnsi="Arial"/>
      <w:b/>
      <w:sz w:val="32"/>
      <w:lang w:val="en-US" w:eastAsia="en-US"/>
    </w:rPr>
  </w:style>
  <w:style w:type="character" w:customStyle="1" w:styleId="berschrift2Zchn">
    <w:name w:val="Überschrift 2 Zchn"/>
    <w:basedOn w:val="Absatz-Standardschriftart"/>
    <w:link w:val="berschrift2"/>
    <w:rsid w:val="003A7308"/>
    <w:rPr>
      <w:rFonts w:ascii="Arial" w:eastAsia="Times New Roman" w:hAnsi="Arial"/>
      <w:b/>
      <w:i/>
      <w:sz w:val="28"/>
      <w:lang w:val="en-US" w:eastAsia="en-US"/>
    </w:rPr>
  </w:style>
  <w:style w:type="character" w:customStyle="1" w:styleId="berschrift9Zchn">
    <w:name w:val="Überschrift 9 Zchn"/>
    <w:basedOn w:val="Absatz-Standardschriftart"/>
    <w:link w:val="berschrift9"/>
    <w:rsid w:val="003A7308"/>
    <w:rPr>
      <w:rFonts w:ascii="Arial" w:eastAsia="Times New Roman" w:hAnsi="Arial" w:cs="Arial"/>
      <w:b/>
      <w:i/>
      <w:sz w:val="22"/>
      <w:szCs w:val="22"/>
      <w:lang w:val="en-US" w:eastAsia="en-US"/>
    </w:rPr>
  </w:style>
  <w:style w:type="paragraph" w:customStyle="1" w:styleId="a">
    <w:name w:val="_"/>
    <w:basedOn w:val="Standard"/>
    <w:rsid w:val="003A7308"/>
    <w:pPr>
      <w:ind w:left="720" w:hanging="720"/>
    </w:pPr>
    <w:rPr>
      <w:rFonts w:ascii="Courier New" w:hAnsi="Courier New"/>
      <w:szCs w:val="20"/>
      <w:lang w:val="en-US" w:eastAsia="en-US"/>
    </w:rPr>
  </w:style>
  <w:style w:type="paragraph" w:customStyle="1" w:styleId="Level1">
    <w:name w:val="Level 1"/>
    <w:basedOn w:val="Standard"/>
    <w:rsid w:val="003A7308"/>
    <w:pPr>
      <w:tabs>
        <w:tab w:val="left" w:pos="720"/>
      </w:tabs>
      <w:ind w:left="360" w:hanging="360"/>
    </w:pPr>
    <w:rPr>
      <w:rFonts w:ascii="Times New Roman" w:hAnsi="Times New Roman"/>
      <w:sz w:val="20"/>
      <w:szCs w:val="20"/>
      <w:lang w:val="en-US" w:eastAsia="en-US"/>
    </w:rPr>
  </w:style>
  <w:style w:type="paragraph" w:customStyle="1" w:styleId="Level2">
    <w:name w:val="Level 2"/>
    <w:basedOn w:val="Standard"/>
    <w:rsid w:val="003A7308"/>
    <w:pPr>
      <w:tabs>
        <w:tab w:val="left" w:pos="720"/>
      </w:tabs>
      <w:ind w:left="720" w:hanging="360"/>
    </w:pPr>
    <w:rPr>
      <w:rFonts w:ascii="Times New Roman" w:hAnsi="Times New Roman"/>
      <w:sz w:val="20"/>
      <w:szCs w:val="20"/>
      <w:lang w:val="en-US" w:eastAsia="en-US"/>
    </w:rPr>
  </w:style>
  <w:style w:type="paragraph" w:customStyle="1" w:styleId="Level3">
    <w:name w:val="Level 3"/>
    <w:basedOn w:val="Standard"/>
    <w:rsid w:val="003A7308"/>
    <w:pPr>
      <w:tabs>
        <w:tab w:val="left" w:pos="1080"/>
      </w:tabs>
      <w:ind w:left="1080" w:hanging="360"/>
    </w:pPr>
    <w:rPr>
      <w:rFonts w:ascii="Times New Roman" w:hAnsi="Times New Roman"/>
      <w:sz w:val="20"/>
      <w:szCs w:val="20"/>
      <w:lang w:val="en-US" w:eastAsia="en-US"/>
    </w:rPr>
  </w:style>
  <w:style w:type="paragraph" w:customStyle="1" w:styleId="Level4">
    <w:name w:val="Level 4"/>
    <w:basedOn w:val="Standard"/>
    <w:rsid w:val="003A7308"/>
    <w:pPr>
      <w:tabs>
        <w:tab w:val="left" w:pos="1440"/>
      </w:tabs>
      <w:ind w:left="1440" w:hanging="360"/>
    </w:pPr>
    <w:rPr>
      <w:rFonts w:ascii="Times New Roman" w:hAnsi="Times New Roman"/>
      <w:sz w:val="20"/>
      <w:szCs w:val="20"/>
      <w:lang w:val="en-US" w:eastAsia="en-US"/>
    </w:rPr>
  </w:style>
  <w:style w:type="paragraph" w:customStyle="1" w:styleId="Level5">
    <w:name w:val="Level 5"/>
    <w:basedOn w:val="Standard"/>
    <w:rsid w:val="003A7308"/>
    <w:pPr>
      <w:tabs>
        <w:tab w:val="left" w:pos="2160"/>
      </w:tabs>
      <w:ind w:left="1800" w:hanging="360"/>
    </w:pPr>
    <w:rPr>
      <w:rFonts w:ascii="Times New Roman" w:hAnsi="Times New Roman"/>
      <w:sz w:val="20"/>
      <w:szCs w:val="20"/>
      <w:lang w:val="en-US" w:eastAsia="en-US"/>
    </w:rPr>
  </w:style>
  <w:style w:type="paragraph" w:styleId="Blocktext">
    <w:name w:val="Block Text"/>
    <w:basedOn w:val="Standard"/>
    <w:semiHidden/>
    <w:rsid w:val="003A7308"/>
    <w:pPr>
      <w:spacing w:line="260" w:lineRule="exact"/>
      <w:ind w:left="720" w:right="720"/>
    </w:pPr>
    <w:rPr>
      <w:spacing w:val="-5"/>
      <w:sz w:val="22"/>
      <w:szCs w:val="20"/>
      <w:lang w:val="en-US" w:eastAsia="en-US"/>
    </w:rPr>
  </w:style>
  <w:style w:type="paragraph" w:styleId="Textkrper">
    <w:name w:val="Body Text"/>
    <w:basedOn w:val="Standard"/>
    <w:link w:val="TextkrperZchn"/>
    <w:semiHidden/>
    <w:rsid w:val="003A7308"/>
    <w:pPr>
      <w:spacing w:line="260" w:lineRule="exact"/>
    </w:pPr>
    <w:rPr>
      <w:sz w:val="22"/>
      <w:szCs w:val="20"/>
      <w:lang w:val="en-US" w:eastAsia="en-US"/>
    </w:rPr>
  </w:style>
  <w:style w:type="character" w:customStyle="1" w:styleId="TextkrperZchn">
    <w:name w:val="Textkörper Zchn"/>
    <w:basedOn w:val="Absatz-Standardschriftart"/>
    <w:link w:val="Textkrper"/>
    <w:semiHidden/>
    <w:rsid w:val="003A7308"/>
    <w:rPr>
      <w:rFonts w:ascii="Arial" w:eastAsia="Times New Roman" w:hAnsi="Arial"/>
      <w:sz w:val="22"/>
      <w:lang w:val="en-US" w:eastAsia="en-US"/>
    </w:rPr>
  </w:style>
  <w:style w:type="character" w:styleId="Hyperlink">
    <w:name w:val="Hyperlink"/>
    <w:basedOn w:val="Absatz-Standardschriftart"/>
    <w:semiHidden/>
    <w:rsid w:val="003A7308"/>
    <w:rPr>
      <w:color w:val="0000FF"/>
      <w:u w:val="single"/>
    </w:rPr>
  </w:style>
  <w:style w:type="character" w:customStyle="1" w:styleId="KopfzeileZchn">
    <w:name w:val="Kopfzeile Zchn"/>
    <w:basedOn w:val="Absatz-Standardschriftart"/>
    <w:link w:val="Kopfzeile"/>
    <w:uiPriority w:val="99"/>
    <w:rsid w:val="000976CC"/>
    <w:rPr>
      <w:rFonts w:ascii="Arial" w:eastAsia="Times New Roman" w:hAnsi="Arial"/>
      <w:sz w:val="24"/>
      <w:szCs w:val="24"/>
      <w:lang w:val="cs-CZ" w:eastAsia="cs-CZ"/>
    </w:rPr>
  </w:style>
  <w:style w:type="paragraph" w:styleId="berarbeitung">
    <w:name w:val="Revision"/>
    <w:hidden/>
    <w:uiPriority w:val="99"/>
    <w:semiHidden/>
    <w:rsid w:val="00A737D9"/>
    <w:rPr>
      <w:rFonts w:ascii="Arial" w:eastAsia="Times New Roman" w:hAnsi="Arial"/>
      <w:sz w:val="24"/>
      <w:szCs w:val="24"/>
      <w:lang w:val="cs-CZ" w:eastAsia="cs-CZ"/>
    </w:rPr>
  </w:style>
  <w:style w:type="character" w:styleId="Kommentarzeichen">
    <w:name w:val="annotation reference"/>
    <w:basedOn w:val="Absatz-Standardschriftart"/>
    <w:uiPriority w:val="99"/>
    <w:semiHidden/>
    <w:unhideWhenUsed/>
    <w:rsid w:val="00092F56"/>
    <w:rPr>
      <w:sz w:val="16"/>
      <w:szCs w:val="16"/>
    </w:rPr>
  </w:style>
  <w:style w:type="paragraph" w:styleId="Kommentartext">
    <w:name w:val="annotation text"/>
    <w:basedOn w:val="Standard"/>
    <w:link w:val="KommentartextZchn"/>
    <w:uiPriority w:val="99"/>
    <w:unhideWhenUsed/>
    <w:rsid w:val="00092F56"/>
    <w:rPr>
      <w:sz w:val="20"/>
      <w:szCs w:val="20"/>
    </w:rPr>
  </w:style>
  <w:style w:type="character" w:customStyle="1" w:styleId="KommentartextZchn">
    <w:name w:val="Kommentartext Zchn"/>
    <w:basedOn w:val="Absatz-Standardschriftart"/>
    <w:link w:val="Kommentartext"/>
    <w:uiPriority w:val="99"/>
    <w:rsid w:val="00092F56"/>
    <w:rPr>
      <w:rFonts w:ascii="Arial" w:eastAsia="Times New Roman" w:hAnsi="Arial"/>
      <w:lang w:val="cs-CZ" w:eastAsia="cs-CZ"/>
    </w:rPr>
  </w:style>
  <w:style w:type="paragraph" w:styleId="Kommentarthema">
    <w:name w:val="annotation subject"/>
    <w:basedOn w:val="Kommentartext"/>
    <w:next w:val="Kommentartext"/>
    <w:link w:val="KommentarthemaZchn"/>
    <w:semiHidden/>
    <w:unhideWhenUsed/>
    <w:rsid w:val="00092F56"/>
    <w:rPr>
      <w:b/>
      <w:bCs/>
    </w:rPr>
  </w:style>
  <w:style w:type="character" w:customStyle="1" w:styleId="KommentarthemaZchn">
    <w:name w:val="Kommentarthema Zchn"/>
    <w:basedOn w:val="KommentartextZchn"/>
    <w:link w:val="Kommentarthema"/>
    <w:semiHidden/>
    <w:rsid w:val="00092F56"/>
    <w:rPr>
      <w:rFonts w:ascii="Arial" w:eastAsia="Times New Roman" w:hAnsi="Arial"/>
      <w:b/>
      <w:bCs/>
      <w:lang w:val="cs-CZ" w:eastAsia="cs-CZ"/>
    </w:rPr>
  </w:style>
  <w:style w:type="paragraph" w:customStyle="1" w:styleId="Default">
    <w:name w:val="Default"/>
    <w:rsid w:val="00E81DF7"/>
    <w:pPr>
      <w:autoSpaceDE w:val="0"/>
      <w:autoSpaceDN w:val="0"/>
      <w:adjustRightInd w:val="0"/>
    </w:pPr>
    <w:rPr>
      <w:rFonts w:cs="Calibri"/>
      <w:color w:val="000000"/>
      <w:sz w:val="24"/>
      <w:szCs w:val="24"/>
    </w:rPr>
  </w:style>
  <w:style w:type="paragraph" w:styleId="StandardWeb">
    <w:name w:val="Normal (Web)"/>
    <w:basedOn w:val="Standard"/>
    <w:uiPriority w:val="99"/>
    <w:semiHidden/>
    <w:unhideWhenUsed/>
    <w:rsid w:val="00E81DF7"/>
    <w:pPr>
      <w:spacing w:before="100" w:beforeAutospacing="1" w:after="100" w:afterAutospacing="1"/>
    </w:pPr>
    <w:rPr>
      <w:rFonts w:ascii="Times New Roman" w:hAnsi="Times New Roman"/>
      <w:lang w:val="it-IT" w:eastAsia="it-IT"/>
    </w:rPr>
  </w:style>
  <w:style w:type="character" w:customStyle="1" w:styleId="NichtaufgelsteErwhnung1">
    <w:name w:val="Nicht aufgelöste Erwähnung1"/>
    <w:basedOn w:val="Absatz-Standardschriftart"/>
    <w:uiPriority w:val="99"/>
    <w:semiHidden/>
    <w:unhideWhenUsed/>
    <w:rsid w:val="00066D8B"/>
    <w:rPr>
      <w:color w:val="605E5C"/>
      <w:shd w:val="clear" w:color="auto" w:fill="E1DFDD"/>
    </w:rPr>
  </w:style>
  <w:style w:type="character" w:customStyle="1" w:styleId="UnresolvedMention">
    <w:name w:val="Unresolved Mention"/>
    <w:basedOn w:val="Absatz-Standardschriftart"/>
    <w:uiPriority w:val="99"/>
    <w:semiHidden/>
    <w:unhideWhenUsed/>
    <w:rsid w:val="0081032C"/>
    <w:rPr>
      <w:color w:val="605E5C"/>
      <w:shd w:val="clear" w:color="auto" w:fill="E1DFDD"/>
    </w:rPr>
  </w:style>
  <w:style w:type="paragraph" w:styleId="Literaturverzeichnis">
    <w:name w:val="Bibliography"/>
    <w:basedOn w:val="Standard"/>
    <w:next w:val="Standard"/>
    <w:uiPriority w:val="37"/>
    <w:unhideWhenUsed/>
    <w:rsid w:val="00B96F5A"/>
    <w:pPr>
      <w:spacing w:after="160" w:line="259" w:lineRule="auto"/>
    </w:pPr>
    <w:rPr>
      <w:rFonts w:asciiTheme="minorHAnsi" w:eastAsiaTheme="minorHAnsi" w:hAnsiTheme="minorHAnsi" w:cstheme="minorBidi"/>
      <w:sz w:val="22"/>
      <w:szCs w:val="22"/>
      <w:lang w:val="en-GB" w:eastAsia="en-US"/>
    </w:rPr>
  </w:style>
  <w:style w:type="paragraph" w:styleId="Beschriftung">
    <w:name w:val="caption"/>
    <w:basedOn w:val="Standard"/>
    <w:next w:val="Standard"/>
    <w:unhideWhenUsed/>
    <w:qFormat/>
    <w:rsid w:val="00C7739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06148">
      <w:bodyDiv w:val="1"/>
      <w:marLeft w:val="0"/>
      <w:marRight w:val="0"/>
      <w:marTop w:val="0"/>
      <w:marBottom w:val="0"/>
      <w:divBdr>
        <w:top w:val="none" w:sz="0" w:space="0" w:color="auto"/>
        <w:left w:val="none" w:sz="0" w:space="0" w:color="auto"/>
        <w:bottom w:val="none" w:sz="0" w:space="0" w:color="auto"/>
        <w:right w:val="none" w:sz="0" w:space="0" w:color="auto"/>
      </w:divBdr>
    </w:div>
    <w:div w:id="1381593266">
      <w:bodyDiv w:val="1"/>
      <w:marLeft w:val="0"/>
      <w:marRight w:val="0"/>
      <w:marTop w:val="0"/>
      <w:marBottom w:val="0"/>
      <w:divBdr>
        <w:top w:val="none" w:sz="0" w:space="0" w:color="auto"/>
        <w:left w:val="none" w:sz="0" w:space="0" w:color="auto"/>
        <w:bottom w:val="none" w:sz="0" w:space="0" w:color="auto"/>
        <w:right w:val="none" w:sz="0" w:space="0" w:color="auto"/>
      </w:divBdr>
    </w:div>
    <w:div w:id="1493177190">
      <w:bodyDiv w:val="1"/>
      <w:marLeft w:val="0"/>
      <w:marRight w:val="0"/>
      <w:marTop w:val="0"/>
      <w:marBottom w:val="0"/>
      <w:divBdr>
        <w:top w:val="none" w:sz="0" w:space="0" w:color="auto"/>
        <w:left w:val="none" w:sz="0" w:space="0" w:color="auto"/>
        <w:bottom w:val="none" w:sz="0" w:space="0" w:color="auto"/>
        <w:right w:val="none" w:sz="0" w:space="0" w:color="auto"/>
      </w:divBdr>
    </w:div>
    <w:div w:id="1544244788">
      <w:bodyDiv w:val="1"/>
      <w:marLeft w:val="0"/>
      <w:marRight w:val="0"/>
      <w:marTop w:val="0"/>
      <w:marBottom w:val="0"/>
      <w:divBdr>
        <w:top w:val="none" w:sz="0" w:space="0" w:color="auto"/>
        <w:left w:val="none" w:sz="0" w:space="0" w:color="auto"/>
        <w:bottom w:val="none" w:sz="0" w:space="0" w:color="auto"/>
        <w:right w:val="none" w:sz="0" w:space="0" w:color="auto"/>
      </w:divBdr>
    </w:div>
    <w:div w:id="1826817030">
      <w:bodyDiv w:val="1"/>
      <w:marLeft w:val="0"/>
      <w:marRight w:val="0"/>
      <w:marTop w:val="0"/>
      <w:marBottom w:val="0"/>
      <w:divBdr>
        <w:top w:val="none" w:sz="0" w:space="0" w:color="auto"/>
        <w:left w:val="none" w:sz="0" w:space="0" w:color="auto"/>
        <w:bottom w:val="none" w:sz="0" w:space="0" w:color="auto"/>
        <w:right w:val="none" w:sz="0" w:space="0" w:color="auto"/>
      </w:divBdr>
    </w:div>
    <w:div w:id="1927837408">
      <w:bodyDiv w:val="1"/>
      <w:marLeft w:val="0"/>
      <w:marRight w:val="0"/>
      <w:marTop w:val="0"/>
      <w:marBottom w:val="0"/>
      <w:divBdr>
        <w:top w:val="none" w:sz="0" w:space="0" w:color="auto"/>
        <w:left w:val="none" w:sz="0" w:space="0" w:color="auto"/>
        <w:bottom w:val="none" w:sz="0" w:space="0" w:color="auto"/>
        <w:right w:val="none" w:sz="0" w:space="0" w:color="auto"/>
      </w:divBdr>
    </w:div>
    <w:div w:id="1943957438">
      <w:bodyDiv w:val="1"/>
      <w:marLeft w:val="0"/>
      <w:marRight w:val="0"/>
      <w:marTop w:val="0"/>
      <w:marBottom w:val="0"/>
      <w:divBdr>
        <w:top w:val="none" w:sz="0" w:space="0" w:color="auto"/>
        <w:left w:val="none" w:sz="0" w:space="0" w:color="auto"/>
        <w:bottom w:val="none" w:sz="0" w:space="0" w:color="auto"/>
        <w:right w:val="none" w:sz="0" w:space="0" w:color="auto"/>
      </w:divBdr>
    </w:div>
    <w:div w:id="1968001414">
      <w:bodyDiv w:val="1"/>
      <w:marLeft w:val="0"/>
      <w:marRight w:val="0"/>
      <w:marTop w:val="0"/>
      <w:marBottom w:val="0"/>
      <w:divBdr>
        <w:top w:val="none" w:sz="0" w:space="0" w:color="auto"/>
        <w:left w:val="none" w:sz="0" w:space="0" w:color="auto"/>
        <w:bottom w:val="none" w:sz="0" w:space="0" w:color="auto"/>
        <w:right w:val="none" w:sz="0" w:space="0" w:color="auto"/>
      </w:divBdr>
    </w:div>
    <w:div w:id="2018648297">
      <w:bodyDiv w:val="1"/>
      <w:marLeft w:val="0"/>
      <w:marRight w:val="0"/>
      <w:marTop w:val="0"/>
      <w:marBottom w:val="0"/>
      <w:divBdr>
        <w:top w:val="none" w:sz="0" w:space="0" w:color="auto"/>
        <w:left w:val="none" w:sz="0" w:space="0" w:color="auto"/>
        <w:bottom w:val="none" w:sz="0" w:space="0" w:color="auto"/>
        <w:right w:val="none" w:sz="0" w:space="0" w:color="auto"/>
      </w:divBdr>
    </w:div>
    <w:div w:id="20303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ELI18</b:Tag>
    <b:SourceType>InternetSite</b:SourceType>
    <b:Guid>{42C0B9CC-B397-4431-88EA-206BDCB8F2CC}</b:Guid>
    <b:LCID>en-GB</b:LCID>
    <b:Author>
      <b:Author>
        <b:NameList>
          <b:Person>
            <b:Last>ELIC</b:Last>
          </b:Person>
        </b:NameList>
      </b:Author>
    </b:Author>
    <b:Title>ELIC</b:Title>
    <b:Year>2018</b:Year>
    <b:YearAccessed>2019</b:YearAccessed>
    <b:MonthAccessed>July</b:MonthAccessed>
    <b:DayAccessed>12</b:DayAccessed>
    <b:URL>http://elic.fh-joanneum.at/info/</b:URL>
    <b:RefOrder>1</b:RefOrder>
  </b:Source>
  <b:Source>
    <b:Tag>UNE06</b:Tag>
    <b:SourceType>Book</b:SourceType>
    <b:Guid>{08D24534-8BC9-447A-AC96-933EA483715F}</b:Guid>
    <b:Title>Education for all: literacy for life</b:Title>
    <b:Year>2006</b:Year>
    <b:Publisher>United Nations Educational, Scientific and Cultural Organization</b:Publisher>
    <b:City>Paris</b:City>
    <b:Author>
      <b:Author>
        <b:Corporate>UNESCO</b:Corporate>
      </b:Author>
    </b:Author>
    <b:RefOrder>2</b:RefOrder>
  </b:Source>
  <b:Source>
    <b:Tag>nn19</b:Tag>
    <b:SourceType>InternetSite</b:SourceType>
    <b:Guid>{CA746E45-6D18-4F44-ADB4-822C921DCDD6}</b:Guid>
    <b:LCID>en-GB</b:LCID>
    <b:Title>Alberta Education</b:Title>
    <b:Year>2019</b:Year>
    <b:YearAccessed>2019</b:YearAccessed>
    <b:MonthAccessed>July</b:MonthAccessed>
    <b:DayAccessed>12</b:DayAccessed>
    <b:URL>https://education.alberta.ca/litt%C3%A9ratie-et-num%C3%A9ratie/aper%C3%A7u/everyone/litt%C3%A9ratie-et-num%C3%A9ratie/</b:URL>
    <b:Author>
      <b:Author>
        <b:Corporate>Alberta Education</b:Corporate>
      </b:Author>
    </b:Author>
    <b:RefOrder>3</b:RefOrder>
  </b:Source>
  <b:Source>
    <b:Tag>Kol84</b:Tag>
    <b:SourceType>Book</b:SourceType>
    <b:Guid>{C8F06954-B33F-4A0B-AB20-B40AD736E15D}</b:Guid>
    <b:LCID>en-GB</b:LCID>
    <b:Author>
      <b:Author>
        <b:NameList>
          <b:Person>
            <b:Last>Kolb</b:Last>
            <b:First>David</b:First>
          </b:Person>
        </b:NameList>
      </b:Author>
    </b:Author>
    <b:Title>Experiential Learning: Experience as the Source of Learning and Development</b:Title>
    <b:Year>1984</b:Year>
    <b:City>Englewood Cliffs, N.J.</b:City>
    <b:Publisher>Prentice-Hall</b:Publisher>
    <b:RefOrder>4</b:RefOrder>
  </b:Source>
  <b:Source>
    <b:Tag>Ell07</b:Tag>
    <b:SourceType>DocumentFromInternetSite</b:SourceType>
    <b:Guid>{74406621-2701-47CF-AD00-0A498B4DEA75}</b:Guid>
    <b:LCID>en-GB</b:LCID>
    <b:Author>
      <b:Author>
        <b:NameList>
          <b:Person>
            <b:Last>Elliot</b:Last>
            <b:First>Bobby</b:First>
          </b:Person>
        </b:NameList>
      </b:Author>
    </b:Author>
    <b:Title>Assessment 2.0: : Assessment in the age of Web 2.0</b:Title>
    <b:Year>2007</b:Year>
    <b:YearAccessed>2017</b:YearAccessed>
    <b:MonthAccessed>February</b:MonthAccessed>
    <b:DayAccessed>01</b:DayAccessed>
    <b:URL>http://wiki.cetis.ac.uk/images/d/de/Assessment_2_v2.pdf</b:URL>
    <b:InternetSiteTitle>Scottish Qualifications Authority</b:InternetSiteTitle>
    <b:RefOrder>5</b:RefOrder>
  </b:Source>
  <b:Source>
    <b:Tag>Lan061</b:Tag>
    <b:SourceType>Book</b:SourceType>
    <b:Guid>{548956FA-87FC-4B70-88FF-3CBC8383CA5B}</b:Guid>
    <b:LCID>en-GB</b:LCID>
    <b:Title>New Literacies: Everyday Practices and Classroom Learning</b:Title>
    <b:Year>2011</b:Year>
    <b:Author>
      <b:Author>
        <b:NameList>
          <b:Person>
            <b:Last>Lankshear</b:Last>
            <b:First>C.</b:First>
          </b:Person>
          <b:Person>
            <b:Last>Knobel</b:Last>
            <b:First>M.</b:First>
          </b:Person>
        </b:NameList>
      </b:Author>
    </b:Author>
    <b:City>Berkshire</b:City>
    <b:Publisher>McGraw-Hill/Open University</b:Publisher>
    <b:Edition>2nd</b:Edition>
    <b:RefOrder>6</b:RefOrder>
  </b:Source>
  <b:Source>
    <b:Tag>Pre01</b:Tag>
    <b:SourceType>JournalArticle</b:SourceType>
    <b:Guid>{96F4BDD2-A08B-492D-99B5-A1AFDD1A92D3}</b:Guid>
    <b:LCID>en-GB</b:LCID>
    <b:Title>Digital Natives, Digital Immigrants</b:Title>
    <b:Year>2001</b:Year>
    <b:Author>
      <b:Author>
        <b:NameList>
          <b:Person>
            <b:Last>Prensky</b:Last>
            <b:First>M</b:First>
          </b:Person>
        </b:NameList>
      </b:Author>
    </b:Author>
    <b:JournalName>On The Horizon</b:JournalName>
    <b:Pages>1-6</b:Pages>
    <b:Volume>9</b:Volume>
    <b:Issue>5</b:Issue>
    <b:RefOrder>7</b:RefOrder>
  </b:Source>
  <b:Source>
    <b:Tag>TAL13</b:Tag>
    <b:SourceType>Report</b:SourceType>
    <b:Guid>{CCD9625D-5E25-4180-B7DE-5AE15A9E7B4F}</b:Guid>
    <b:LCID>en-GB</b:LCID>
    <b:Title>The OECD Teaching and Learning International Survey (TALIS) - 2013 Results </b:Title>
    <b:Year>2013</b:Year>
    <b:Author>
      <b:Author>
        <b:NameList>
          <b:Person>
            <b:Last>TALIS</b:Last>
          </b:Person>
        </b:NameList>
      </b:Author>
    </b:Author>
    <b:Publisher>Organisation for Economic Co-operation and Development </b:Publisher>
    <b:City>Paris</b:City>
    <b:RefOrder>8</b:RefOrder>
  </b:Source>
</b:Sources>
</file>

<file path=customXml/itemProps1.xml><?xml version="1.0" encoding="utf-8"?>
<ds:datastoreItem xmlns:ds="http://schemas.openxmlformats.org/officeDocument/2006/customXml" ds:itemID="{EA11D70B-EE40-48D7-AD40-3B70D1EA7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5222</Characters>
  <Application>Microsoft Office Word</Application>
  <DocSecurity>0</DocSecurity>
  <Lines>43</Lines>
  <Paragraphs>12</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Nr</vt:lpstr>
      <vt:lpstr>Nr</vt:lpstr>
      <vt:lpstr>Nr</vt:lpstr>
    </vt:vector>
  </TitlesOfParts>
  <Company>Grizli777</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Fundatia Lauder</dc:creator>
  <cp:lastModifiedBy>Sprenger Hanna</cp:lastModifiedBy>
  <cp:revision>3</cp:revision>
  <cp:lastPrinted>2018-09-17T06:58:00Z</cp:lastPrinted>
  <dcterms:created xsi:type="dcterms:W3CDTF">2019-09-29T18:04:00Z</dcterms:created>
  <dcterms:modified xsi:type="dcterms:W3CDTF">2019-09-29T18:05:00Z</dcterms:modified>
</cp:coreProperties>
</file>